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Priyanka Deshmukh</w:t>
            </w:r>
          </w:p>
        </w:tc>
      </w:tr>
      <w:tr>
        <w:tc>
          <w:tcPr>
            <w:tcW w:type="dxa" w:w="4320"/>
          </w:tcPr>
          <w:p>
            <w:r>
              <w:t>From</w:t>
            </w:r>
          </w:p>
        </w:tc>
        <w:tc>
          <w:tcPr>
            <w:tcW w:type="dxa" w:w="4320"/>
          </w:tcPr>
          <w:p>
            <w:r>
              <w:t>Gideon Park</w:t>
            </w:r>
          </w:p>
        </w:tc>
      </w:tr>
      <w:tr>
        <w:tc>
          <w:tcPr>
            <w:tcW w:type="dxa" w:w="4320"/>
          </w:tcPr>
          <w:p>
            <w:r>
              <w:t>Re</w:t>
            </w:r>
          </w:p>
        </w:tc>
        <w:tc>
          <w:tcPr>
            <w:tcW w:type="dxa" w:w="4320"/>
          </w:tcPr>
          <w:p>
            <w:r>
              <w:t>Departing Engineering Lead — Trade Secret / Control-Loop IP Exposure — Preliminary Assessment and Recommended Immediate Steps</w:t>
            </w:r>
          </w:p>
        </w:tc>
      </w:tr>
      <w:tr>
        <w:tc>
          <w:tcPr>
            <w:tcW w:type="dxa" w:w="4320"/>
          </w:tcPr>
          <w:p>
            <w:r>
              <w:t>Privilege</w:t>
            </w:r>
          </w:p>
        </w:tc>
        <w:tc>
          <w:tcPr>
            <w:tcW w:type="dxa" w:w="4320"/>
          </w:tcPr>
          <w:p>
            <w:r>
              <w:t>Attorney-Client Privileged and Attorney Work Product — Prepared in Anticipation of Litigation</w:t>
            </w:r>
          </w:p>
        </w:tc>
      </w:tr>
    </w:tbl>
    <w:p>
      <w:pPr>
        <w:pStyle w:val="Heading2"/>
      </w:pPr>
      <w:r>
        <w:t>1. Summary</w:t>
      </w:r>
    </w:p>
    <w:p>
      <w:r>
        <w:t>You've flagged that the former engineering lead who departed has taken a position with what we understand to be a competing or adjacent operation, and that the control-loop IP — the tuning logic, calibration data, and process parameters that make our client's system perform the way it does — may have gone with him, either on a device, in a personal repository, or simply in his head in a form detailed enough to matter. The interesting problem here is that 'control-loop IP' spans a spectrum from generally known control theory (not protectable) to the specific gain schedules and edge-case tuning built from years of plant data (very protectable, and very portable). We need to nail down where on that spectrum the exposure actually sits before we decide how hard to swing. Below is what I think we do in the next 5 business days, and what I need from the client to do it.</w:t>
      </w:r>
    </w:p>
    <w:p>
      <w:pPr>
        <w:pStyle w:val="Heading2"/>
      </w:pPr>
      <w:r>
        <w:t>2. What We Know So Far</w:t>
      </w:r>
    </w:p>
    <w:p>
      <w:pPr>
        <w:pStyle w:val="ListNumber"/>
      </w:pPr>
      <w:r>
        <w:t>The engineering lead resigned and departed; the timeline of notice-to-exit and the exit interview record needs to be pulled and reviewed for gaps.</w:t>
      </w:r>
    </w:p>
    <w:p>
      <w:pPr>
        <w:pStyle w:val="ListNumber"/>
      </w:pPr>
      <w:r>
        <w:t>There is a preliminary, unconfirmed report that he has taken a role involving similar technical work — we do not yet have written confirmation of the new employer or his role there.</w:t>
      </w:r>
    </w:p>
    <w:p>
      <w:pPr>
        <w:pStyle w:val="ListNumber"/>
      </w:pPr>
      <w:r>
        <w:t>No litigation hold has been confirmed as issued to IT for his devices, email, and any cloud storage/repo access tied to his account.</w:t>
      </w:r>
    </w:p>
    <w:p>
      <w:pPr>
        <w:pStyle w:val="ListNumber"/>
      </w:pPr>
      <w:r>
        <w:t>We do not yet know whether he signed an enforceable confidentiality/IP assignment agreement, or whether any non-compete or non-solicit provision applies and in which jurisdiction it would be tested.</w:t>
      </w:r>
    </w:p>
    <w:p>
      <w:pPr>
        <w:pStyle w:val="Heading2"/>
      </w:pPr>
      <w:r>
        <w:t>3. Why Speed Matters Here</w:t>
      </w:r>
    </w:p>
    <w:p>
      <w:r>
        <w:t>Trade secret claims live or die on two things: proof of reasonable protective measures before the departure, and proof of misappropriation after it. Both degrade with time. Devices get wiped or reissued, repo access logs roll off retention windows, and the departing employee's new employer forms its own independent-development narrative the longer we wait to put them on notice. If real control-loop IP left with him, our leverage is highest in the first two weeks — before he's had time to demonstrate that his new work is different, and while the forensic trail is still intact.</w:t>
      </w:r>
    </w:p>
    <w:p>
      <w:pPr>
        <w:pStyle w:val="Heading2"/>
      </w:pPr>
      <w:r>
        <w:t>4. Recommended Immediate Steps</w:t>
      </w:r>
    </w:p>
    <w:p>
      <w:pPr>
        <w:pStyle w:val="ListNumber"/>
      </w:pPr>
      <w:r>
        <w:t>Litigation hold — issue today to IT covering his laptop, email, VPN logs, source control (commit and pull history for the 90 days pre-departure), and any USB/cloud-sync activity. Do not let IT re-image the laptop.</w:t>
      </w:r>
    </w:p>
    <w:p>
      <w:pPr>
        <w:pStyle w:val="ListNumber"/>
      </w:pPr>
      <w:r>
        <w:t>Forensic preservation — image the device before any reissue; a mirror image now is cheap insurance against a spoliation fight later.</w:t>
      </w:r>
    </w:p>
    <w:p>
      <w:pPr>
        <w:pStyle w:val="ListNumber"/>
      </w:pPr>
      <w:r>
        <w:t>Access audit — pull a full log of what repositories, drawings, and control-parameter files he could reach in his last 90 days, and flag any unusual bulk downloads or after-hours access.</w:t>
      </w:r>
    </w:p>
    <w:p>
      <w:pPr>
        <w:pStyle w:val="ListNumber"/>
      </w:pPr>
      <w:r>
        <w:t>Agreement pull — locate his signed offer letter, PIIA/confidentiality agreement, and any non-compete; confirm governing law and whether it was signed as a condition of employment or added later (timing affects enforceability in several states).</w:t>
      </w:r>
    </w:p>
    <w:p>
      <w:pPr>
        <w:pStyle w:val="ListNumber"/>
      </w:pPr>
      <w:r>
        <w:t>Exit interview reconciliation — confirm he certified return/destruction of confidential materials at exit; if he didn't sign a certification, that's a gap we should close now with a follow-up letter.</w:t>
      </w:r>
    </w:p>
    <w:p>
      <w:pPr>
        <w:pStyle w:val="ListNumber"/>
      </w:pPr>
      <w:r>
        <w:t>Confirm new employer and role — before we send anything, we need actual confirmation, not the current secondhand report. Sending a cease-and-desist based on rumor is a step I'm not comfortable taking yet.</w:t>
      </w:r>
    </w:p>
    <w:p>
      <w:pPr>
        <w:pStyle w:val="Heading2"/>
      </w:pPr>
      <w:r>
        <w:t>5. Decision Points for the Client</w:t>
      </w:r>
    </w:p>
    <w:p>
      <w:r>
        <w:t>Once the access audit and agreement review come back, we'll be at a fork: if the record shows he took specific, identifiable proprietary files or data, we're looking at a cease-and-desist to him and likely a parallel notice letter to the new employer, preserving the option of a TRO if he's already actively using the material. If the record is ambiguous — general skill and knowledge, nothing document-specific — the calculus changes considerably, and an aggressive letter can do more harm than good by inviting a declaratory judgment action in his favor. I'd rather we know which of those two matters we're actually in before we pick a posture.</w:t>
      </w:r>
    </w:p>
    <w:p>
      <w:pPr>
        <w:pStyle w:val="Heading2"/>
      </w:pPr>
      <w:r>
        <w:t>6. What I Need From You</w:t>
      </w:r>
    </w:p>
    <w:p>
      <w:pPr>
        <w:pStyle w:val="ListBullet"/>
      </w:pPr>
      <w:r>
        <w:t>Confirmation that the litigation hold has gone to IT (or authorization for me to send it directly)</w:t>
      </w:r>
    </w:p>
    <w:p>
      <w:pPr>
        <w:pStyle w:val="ListBullet"/>
      </w:pPr>
      <w:r>
        <w:t>His signed employment/confidentiality agreement and any exit paperwork</w:t>
      </w:r>
    </w:p>
    <w:p>
      <w:pPr>
        <w:pStyle w:val="ListBullet"/>
      </w:pPr>
      <w:r>
        <w:t>Whatever internal information exists on the new employer and his reported role there</w:t>
      </w:r>
    </w:p>
    <w:p>
      <w:pPr>
        <w:pStyle w:val="ListBullet"/>
      </w:pPr>
      <w:r>
        <w:t>A point of contact on the technical side who can walk me through what 'control-loop IP' means concretely in this system, so I'm not asking IT the wrong questions later</w:t>
      </w:r>
    </w:p>
    <w:p>
      <w:r>
        <w:t>I'd like to get the hold and the forensic image done this week regardless of how the rest shakes out — that part costs us little and protects a great deal. Happy to get on a call today or tomorrow to walk through the technical scope together; I find these go faster once I understand what the control loop is actually doing.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