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End-of-Day Docket Checkpoint</w:t>
      </w:r>
    </w:p>
    <w:p>
      <w:r>
        <w:t>Prepared by Thandiwe Mokoena, Docket &amp; Calendar Manager. This checkpoint captures today's deadline movements and serves as the baseline for tomorrow's docket call.</w:t>
      </w:r>
    </w:p>
    <w:p>
      <w:pPr>
        <w:pStyle w:val="Heading2"/>
      </w:pPr>
      <w:r>
        <w:t>1. Sable Ridge — Reply Brief</w:t>
      </w:r>
    </w:p>
    <w:p>
      <w:r>
        <w:t>Status: Filed. No deadline remaining on this item; closed for docket purposes.</w:t>
      </w:r>
    </w:p>
    <w:p>
      <w:pPr>
        <w:pStyle w:val="Heading2"/>
      </w:pPr>
      <w:r>
        <w:t>2. Sable Ridge — Position Statement (Self-Sign)</w:t>
      </w:r>
    </w:p>
    <w:p>
      <w:r>
        <w:t>Per Bennett's ruling, Jamal is required to self-sign the Sable Ridge Position Statement. Deadline: today, EOD — 0 days remaining. Confirmation of signature has been requested and is outstanding as of this checkpoint.</w:t>
      </w:r>
    </w:p>
    <w:p>
      <w:pPr>
        <w:pStyle w:val="Heading2"/>
      </w:pPr>
      <w:r>
        <w:t>3. Ardmore Elevator — Good Standing Filing</w:t>
      </w:r>
    </w:p>
    <w:p>
      <w:r>
        <w:t>Status: MISSED. Deadline was today at 4:00 PM — 0 days remaining, now past. Samir was reminded ahead of the deadline and followed up again after 4:00 PM with no confirmation received. Adaora has been notified of the missed deadline and the lack of confirmation. This item is flagged for tomorrow's docket call and remains open pending status from Samir.</w:t>
      </w:r>
    </w:p>
    <w:p>
      <w:pPr>
        <w:pStyle w:val="Heading2"/>
      </w:pPr>
      <w:r>
        <w:t>4. Ardmore Elevator — Chain-of-Access Ownership Question</w:t>
      </w:r>
    </w:p>
    <w:p>
      <w:r>
        <w:t>Status: ESCALATED. The chain-of-access ownership question has gone two days without an assigned owner. Gideon did not respond to four pings. Rosalie was asked for the specific deadline to calendar and chase but has not yet supplied it. The matter has been escalated to Bennett-Ashworth with a request to assign ownership before tomorrow's docket call.</w:t>
      </w:r>
    </w:p>
    <w:p>
      <w:pPr>
        <w:pStyle w:val="Heading2"/>
      </w:pPr>
      <w:r>
        <w:t>5. Unidentified Docket Entry (Sable Ridge — Related-Party Conflicts Memo)</w:t>
      </w:r>
    </w:p>
    <w:p>
      <w:r>
        <w:t>Status: Closed for now. The previously unidentified docket entry Lucien flagged has been confirmed as tied to the Sable Ridge related-party conflicts memo. It has been pulled from the active docket and will be re-added once that memo's scope is settled. Lucien has confirmed this treatment.</w:t>
      </w:r>
    </w:p>
    <w:p>
      <w:pPr>
        <w:pStyle w:val="Heading2"/>
      </w:pPr>
      <w:r>
        <w:t>Open Items Carried Into Tomorrow's Docket Call</w:t>
      </w:r>
    </w:p>
    <w:p>
      <w:pPr>
        <w:pStyle w:val="ListNumber"/>
      </w:pPr>
      <w:r>
        <w:t>Sable Ridge Position Statement — confirm Jamal's self-signature (deadline was today, now overdue pending confirmation).</w:t>
      </w:r>
    </w:p>
    <w:p>
      <w:pPr>
        <w:pStyle w:val="ListNumber"/>
      </w:pPr>
      <w:r>
        <w:t>Ardmore Elevator good standing filing — missed 4:00 PM deadline; awaiting Samir's status; escalate again if no response by call time.</w:t>
      </w:r>
    </w:p>
    <w:p>
      <w:pPr>
        <w:pStyle w:val="ListNumber"/>
      </w:pPr>
      <w:r>
        <w:t>Ardmore chain-of-access ownership — no owner assigned after two days and four unanswered pings to Gideon; escalated to Bennett-Ashworth for assignment before the call.</w:t>
      </w:r>
    </w:p>
    <w:p>
      <w:pPr>
        <w:pStyle w:val="ListNumber"/>
      </w:pPr>
      <w:r>
        <w:t>Ardmore chain-of-access specific deadline — still needed from Rosalie to calendar and chase.</w:t>
      </w:r>
    </w:p>
    <w:p>
      <w:pPr>
        <w:pStyle w:val="Heading2"/>
      </w:pPr>
      <w:r>
        <w:t>Summary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Matter</w:t>
            </w:r>
          </w:p>
        </w:tc>
        <w:tc>
          <w:tcPr>
            <w:tcW w:type="dxa" w:w="1728"/>
          </w:tcPr>
          <w:p>
            <w:r>
              <w:t>Item</w:t>
            </w:r>
          </w:p>
        </w:tc>
        <w:tc>
          <w:tcPr>
            <w:tcW w:type="dxa" w:w="1728"/>
          </w:tcPr>
          <w:p>
            <w:r>
              <w:t>Deadline</w:t>
            </w:r>
          </w:p>
        </w:tc>
        <w:tc>
          <w:tcPr>
            <w:tcW w:type="dxa" w:w="1728"/>
          </w:tcPr>
          <w:p>
            <w:r>
              <w:t>Days Remaining</w:t>
            </w:r>
          </w:p>
        </w:tc>
        <w:tc>
          <w:tcPr>
            <w:tcW w:type="dxa" w:w="1728"/>
          </w:tcPr>
          <w:p>
            <w:r>
              <w:t>Status</w:t>
            </w:r>
          </w:p>
        </w:tc>
      </w:tr>
      <w:tr>
        <w:tc>
          <w:tcPr>
            <w:tcW w:type="dxa" w:w="1728"/>
          </w:tcPr>
          <w:p>
            <w:r>
              <w:t>Sable Ridge</w:t>
            </w:r>
          </w:p>
        </w:tc>
        <w:tc>
          <w:tcPr>
            <w:tcW w:type="dxa" w:w="1728"/>
          </w:tcPr>
          <w:p>
            <w:r>
              <w:t>Reply brief</w:t>
            </w:r>
          </w:p>
        </w:tc>
        <w:tc>
          <w:tcPr>
            <w:tcW w:type="dxa" w:w="1728"/>
          </w:tcPr>
          <w:p>
            <w:r>
              <w:t>Today</w:t>
            </w:r>
          </w:p>
        </w:tc>
        <w:tc>
          <w:tcPr>
            <w:tcW w:type="dxa" w:w="1728"/>
          </w:tcPr>
          <w:p>
            <w:r>
              <w:t>0</w:t>
            </w:r>
          </w:p>
        </w:tc>
        <w:tc>
          <w:tcPr>
            <w:tcW w:type="dxa" w:w="1728"/>
          </w:tcPr>
          <w:p>
            <w:r>
              <w:t>Filed</w:t>
            </w:r>
          </w:p>
        </w:tc>
      </w:tr>
      <w:tr>
        <w:tc>
          <w:tcPr>
            <w:tcW w:type="dxa" w:w="1728"/>
          </w:tcPr>
          <w:p>
            <w:r>
              <w:t>Sable Ridge</w:t>
            </w:r>
          </w:p>
        </w:tc>
        <w:tc>
          <w:tcPr>
            <w:tcW w:type="dxa" w:w="1728"/>
          </w:tcPr>
          <w:p>
            <w:r>
              <w:t>Position Statement self-sign</w:t>
            </w:r>
          </w:p>
        </w:tc>
        <w:tc>
          <w:tcPr>
            <w:tcW w:type="dxa" w:w="1728"/>
          </w:tcPr>
          <w:p>
            <w:r>
              <w:t>Today, EOD</w:t>
            </w:r>
          </w:p>
        </w:tc>
        <w:tc>
          <w:tcPr>
            <w:tcW w:type="dxa" w:w="1728"/>
          </w:tcPr>
          <w:p>
            <w:r>
              <w:t>0</w:t>
            </w:r>
          </w:p>
        </w:tc>
        <w:tc>
          <w:tcPr>
            <w:tcW w:type="dxa" w:w="1728"/>
          </w:tcPr>
          <w:p>
            <w:r>
              <w:t>Unconfirmed</w:t>
            </w:r>
          </w:p>
        </w:tc>
      </w:tr>
      <w:tr>
        <w:tc>
          <w:tcPr>
            <w:tcW w:type="dxa" w:w="1728"/>
          </w:tcPr>
          <w:p>
            <w:r>
              <w:t>Ardmore Elevator</w:t>
            </w:r>
          </w:p>
        </w:tc>
        <w:tc>
          <w:tcPr>
            <w:tcW w:type="dxa" w:w="1728"/>
          </w:tcPr>
          <w:p>
            <w:r>
              <w:t>Good standing filing</w:t>
            </w:r>
          </w:p>
        </w:tc>
        <w:tc>
          <w:tcPr>
            <w:tcW w:type="dxa" w:w="1728"/>
          </w:tcPr>
          <w:p>
            <w:r>
              <w:t>Today, 4:00 PM</w:t>
            </w:r>
          </w:p>
        </w:tc>
        <w:tc>
          <w:tcPr>
            <w:tcW w:type="dxa" w:w="1728"/>
          </w:tcPr>
          <w:p>
            <w:r>
              <w:t>0</w:t>
            </w:r>
          </w:p>
        </w:tc>
        <w:tc>
          <w:tcPr>
            <w:tcW w:type="dxa" w:w="1728"/>
          </w:tcPr>
          <w:p>
            <w:r>
              <w:t>Missed / Unconfirmed</w:t>
            </w:r>
          </w:p>
        </w:tc>
      </w:tr>
      <w:tr>
        <w:tc>
          <w:tcPr>
            <w:tcW w:type="dxa" w:w="1728"/>
          </w:tcPr>
          <w:p>
            <w:r>
              <w:t>Ardmore Elevator</w:t>
            </w:r>
          </w:p>
        </w:tc>
        <w:tc>
          <w:tcPr>
            <w:tcW w:type="dxa" w:w="1728"/>
          </w:tcPr>
          <w:p>
            <w:r>
              <w:t>Chain-of-access ownership</w:t>
            </w:r>
          </w:p>
        </w:tc>
        <w:tc>
          <w:tcPr>
            <w:tcW w:type="dxa" w:w="1728"/>
          </w:tcPr>
          <w:p>
            <w:r>
              <w:t>Unassigned</w:t>
            </w:r>
          </w:p>
        </w:tc>
        <w:tc>
          <w:tcPr>
            <w:tcW w:type="dxa" w:w="1728"/>
          </w:tcPr>
          <w:p>
            <w:r>
              <w:t>N/A</w:t>
            </w:r>
          </w:p>
        </w:tc>
        <w:tc>
          <w:tcPr>
            <w:tcW w:type="dxa" w:w="1728"/>
          </w:tcPr>
          <w:p>
            <w:r>
              <w:t>Escalated to Bennett-Ashworth</w:t>
            </w:r>
          </w:p>
        </w:tc>
      </w:tr>
      <w:tr>
        <w:tc>
          <w:tcPr>
            <w:tcW w:type="dxa" w:w="1728"/>
          </w:tcPr>
          <w:p>
            <w:r>
              <w:t>Sable Ridge</w:t>
            </w:r>
          </w:p>
        </w:tc>
        <w:tc>
          <w:tcPr>
            <w:tcW w:type="dxa" w:w="1728"/>
          </w:tcPr>
          <w:p>
            <w:r>
              <w:t>Unidentified entry (related-party memo)</w:t>
            </w:r>
          </w:p>
        </w:tc>
        <w:tc>
          <w:tcPr>
            <w:tcW w:type="dxa" w:w="1728"/>
          </w:tcPr>
          <w:p>
            <w:r>
              <w:t>Pending memo scope</w:t>
            </w:r>
          </w:p>
        </w:tc>
        <w:tc>
          <w:tcPr>
            <w:tcW w:type="dxa" w:w="1728"/>
          </w:tcPr>
          <w:p>
            <w:r>
              <w:t>N/A</w:t>
            </w:r>
          </w:p>
        </w:tc>
        <w:tc>
          <w:tcPr>
            <w:tcW w:type="dxa" w:w="1728"/>
          </w:tcPr>
          <w:p>
            <w:r>
              <w:t>Closed — pending re-add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