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Memo</w:t>
      </w:r>
    </w:p>
    <w:p>
      <w:r>
        <w:t>From: Klara Bendtsen, Senior Associate, IP &amp; Technology</w:t>
      </w:r>
    </w:p>
    <w:p>
      <w:r>
        <w:t>Re: To/CC Read-Aloud Practice — Confirmed Pattern, Now Corroborated by a Second Person — Recommendation to Escalate</w:t>
      </w:r>
    </w:p>
    <w:p>
      <w:r>
        <w:t>Status: For escalation to the appropriate stakeholder (practice group leadership / risk &amp; professional responsibility)</w:t>
      </w:r>
    </w:p>
    <w:p>
      <w:pPr>
        <w:pStyle w:val="Heading2"/>
      </w:pPr>
      <w:r>
        <w:t>1. Purpose</w:t>
      </w:r>
    </w:p>
    <w:p>
      <w:r>
        <w:t>This memo flags, as a firmwide policy matter rather than a one-off complaint, a recurring practice in which recipients on email and correspondence are read aloud from the To/CC line during calls or meetings without regard to confidentiality groupings, privilege boundaries, or matter-separation conventions. The pattern was first noted informally and has now been corroborated independently by a second person, which moves this from an isolated observation to something that warrants a documented escalation.</w:t>
      </w:r>
    </w:p>
    <w:p>
      <w:pPr>
        <w:pStyle w:val="Heading2"/>
      </w:pPr>
      <w:r>
        <w:t>2. What Has Been Observed</w:t>
      </w:r>
    </w:p>
    <w:p>
      <w:pPr>
        <w:pStyle w:val="ListNumber"/>
      </w:pPr>
      <w:r>
        <w:t>An initial instance in which To/CC lines were read aloud in a mixed setting, mingling parties who should not have been discussed together in the same breath — raising confidentiality and privilege-adjacent concerns.</w:t>
      </w:r>
    </w:p>
    <w:p>
      <w:pPr>
        <w:pStyle w:val="ListNumber"/>
      </w:pPr>
      <w:r>
        <w:t>A second, independent report corroborating the same behavior in an unrelated context, indicating this is not a one-off lapse by a single person but a practice with some currency across the group.</w:t>
      </w:r>
    </w:p>
    <w:p>
      <w:pPr>
        <w:pStyle w:val="ListNumber"/>
      </w:pPr>
      <w:r>
        <w:t>A related instance this week in which two unconnected matters were nearly conflated in a shared working thread — a Deshmukh chain-of-access matter and separate, unrelated items (a transcript question and a Pryor/Sable Ridge-related matter) were confirmed to Noor as not belonging in the same thread and kept firmly separated. This is a useful adjacent data point: it shows the team is actively guarding against matter-bleed when someone raises it, but also shows how easily it could happen if no one raises it.</w:t>
      </w:r>
    </w:p>
    <w:p>
      <w:pPr>
        <w:pStyle w:val="Heading2"/>
      </w:pPr>
      <w:r>
        <w:t>3. Why This Is a Policy Concern, Not a Coaching Note</w:t>
      </w:r>
    </w:p>
    <w:p>
      <w:r>
        <w:t>careful here — the risk is not limited to a single awkward call. Reading recipient lines aloud without first confirming who is in the room, or without stripping the practice back to a written recap, creates a real risk of: (a) disclosing the existence or identity of a client or matter to someone not entitled to know it, (b) suggesting relationships between matters that should be walled off from one another (as nearly happened this week with Deshmukh vs. the transcript/Pryor-Sable Ridge items), and (c) creating a discoverable or reportable confidentiality breach that is entirely avoidable. Because this has now been corroborated by a second, independent person, it is reasonable to infer the practice is habitual rather than accidental, and that it is not self-correcting.</w:t>
      </w:r>
    </w:p>
    <w:p>
      <w:pPr>
        <w:pStyle w:val="Heading2"/>
      </w:pPr>
      <w:r>
        <w:t>4. Recommendation</w:t>
      </w:r>
    </w:p>
    <w:p>
      <w:pPr>
        <w:pStyle w:val="ListNumber"/>
      </w:pPr>
      <w:r>
        <w:t>Escalate this memo to practice group leadership and/or risk &amp; professional responsibility as a firmwide practice-management item, not a personnel note about any one individual.</w:t>
      </w:r>
    </w:p>
    <w:p>
      <w:pPr>
        <w:pStyle w:val="ListNumber"/>
      </w:pPr>
      <w:r>
        <w:t>Request a short written reminder or policy clarification: recipient lists should be confirmed by review of the written header, not read aloud, particularly where matters involve separate clients or walled-off workstreams.</w:t>
      </w:r>
    </w:p>
    <w:p>
      <w:pPr>
        <w:pStyle w:val="ListNumber"/>
      </w:pPr>
      <w:r>
        <w:t>No names are attached to this memo pending guidance on how leadership wants to handle corroborated-but-informal reports; happy to provide detail directly if asked.</w:t>
      </w:r>
    </w:p>
    <w:p>
      <w:pPr>
        <w:pStyle w:val="Heading2"/>
      </w:pPr>
      <w:r>
        <w:t>5. Unrelated Status Note (for continuity only)</w:t>
      </w:r>
    </w:p>
    <w:p>
      <w:r>
        <w:t>Separately, and not part of the escalation above: the Deshmukh cease-and-desist/preservation matter remains active. The cease-and-desist and preservation letter has been sent. Priyanka is confirming and documenting access-revocation timing; that documentation has now been received. The chain-of-access anomaly review remains the current evidentiary support for the matter and the recommended basis for the claim, given the likely gap in the assignment agreement's work-product definition as applied to derivative control-loop algorithms developed independently — a court would likely construe that ambiguity against the firm notwithstanding that the developer was hired for the work. Rough TRO/PI timing remains 2-3 days to file, with a hearing within days to two weeks; wrongful-injunction exposure is flagged accordingly. Patent filing status is still being chased from Gideon, with escalation to a direct call if unresolved by end of day. The full memo on that matter is on track for Friday. This note is included here only to confirm that the policy-concern escalation above is a separate, distinct workstream from the Deshmukh matter and should not be merged with it in any status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