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Position Statement — Jamal Matter</w:t>
      </w:r>
    </w:p>
    <w:p>
      <w:r>
        <w:t>Prepared by Bennett Ashworth, Partner, Commercial Litigation. Draft for internal review. Rosalie has confirmed that her earlier flag concerned the Lucien/Hyunwoo remediation date, not the status of Jamal's read-aloud To/CC policy compliance confirmation. Accordingly, this draft is scoped solely to the disputed Jamal compliance issue, which remains outstanding.</w:t>
      </w:r>
    </w:p>
    <w:p>
      <w:pPr>
        <w:pStyle w:val="Heading2"/>
      </w:pPr>
      <w:r>
        <w:t>I. Background</w:t>
      </w:r>
    </w:p>
    <w:p>
      <w:r>
        <w:t>This matter arises from the disputed communications-policy compliance issue involving Jamal. The firm has previously requested, and continues to press for, Jamal's written confirmation that his practice of reading aloud message content to third parties comports with the operative To/CC distribution policy. That confirmation remains outstanding notwithstanding repeated direct requests. See record.</w:t>
      </w:r>
    </w:p>
    <w:p>
      <w:r>
        <w:t>The purpose of this statement is to set forth the firm's position on the merits of the underlying compliance question and to preserve the record on the outstanding confirmation issue pending Jamal's response.</w:t>
      </w:r>
    </w:p>
    <w:p>
      <w:pPr>
        <w:pStyle w:val="Heading2"/>
      </w:pPr>
      <w:r>
        <w:t>II. Statement of Position</w:t>
      </w:r>
    </w:p>
    <w:p>
      <w:r>
        <w:t>1. The read-aloud practice at issue implicates the same distribution-control concerns that the To/CC policy was drafted to address. Absent Jamal's written confirmation of compliance, the firm cannot certify that the practice conforms to policy, and the ambiguity redounds against the party controlling the information — here, Jamal. See record.</w:t>
      </w:r>
    </w:p>
    <w:p>
      <w:r>
        <w:t>2. The firm's position is that written confirmation, not verbal assurance, is required before the underlying question can be closed out. Verbal assurances have been sought and are not sufficient given the compliance stakes and the need for an auditable record.</w:t>
      </w:r>
    </w:p>
    <w:p>
      <w:r>
        <w:t>3. This position is not novel; it tracks the firm's consistent practice on comparable compliance confirmations across matters, where written sign-off — not a conversation — closes the loop. The Lucien/Hyunwoo remediation matter, on which Rosalie has now confirmed a remediation date, is a parallel example: written confirmation of the date, not a verbal understanding, is what closed that item out, and the same standard applies here to Jamal.</w:t>
      </w:r>
    </w:p>
    <w:p>
      <w:pPr>
        <w:pStyle w:val="Heading2"/>
      </w:pPr>
      <w:r>
        <w:t>III. Outstanding Item Requiring Resolution</w:t>
      </w:r>
    </w:p>
    <w:p>
      <w:r>
        <w:t>As of tonight, Jamal has not provided the written read-aloud To/CC policy compliance confirmation despite direct request. This statement cannot be finalized as a complete record until that confirmation is received or Jamal's non-response is formally noted for the file. Rosalie's earlier flag has been clarified as pertaining to the Lucien/Hyunwoo remediation date, which is now confirmed and is not a scope issue for this statement; the sole open item for purposes of this document remains Jamal's confirmation.</w:t>
      </w:r>
    </w:p>
    <w:p>
      <w:pPr>
        <w:pStyle w:val="Heading2"/>
      </w:pPr>
      <w:r>
        <w:t>IV. Next Steps</w:t>
      </w:r>
    </w:p>
    <w:p>
      <w:pPr>
        <w:pStyle w:val="ListNumber"/>
      </w:pPr>
      <w:r>
        <w:t>Follow up directly with Jamal, in writing, for the outstanding read-aloud To/CC compliance confirmation.</w:t>
      </w:r>
    </w:p>
    <w:p>
      <w:pPr>
        <w:pStyle w:val="ListNumber"/>
      </w:pPr>
      <w:r>
        <w:t>If no written confirmation is received within a reasonable period, formally note Jamal's non-response for the file.</w:t>
      </w:r>
    </w:p>
    <w:p>
      <w:pPr>
        <w:pStyle w:val="ListNumber"/>
      </w:pPr>
      <w:r>
        <w:t>Revise and finalize this Position Statement once Jamal's confirmation (or formal non-response note) is in hand.</w:t>
      </w:r>
    </w:p>
    <w:p>
      <w:pPr>
        <w:pStyle w:val="ListNumber"/>
      </w:pPr>
      <w:r>
        <w:t>Circulate the finalized version internally for sign-off prior to any external use.</w:t>
      </w:r>
    </w:p>
    <w:p>
      <w:r>
        <w:t>This document remains a draft pending the foregoing. See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