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Investigation Plan and Next Steps: Abioye and Related Supervisor Harassment Complaints</w:t>
      </w:r>
    </w:p>
    <w:p>
      <w:r>
        <w:t>Privileged and Confidential — Prepared at the Direction of Counsel. This investigation is conducted at the direction of, and under the supervision of, outside counsel in anticipation of potential litigation and to enable the company to take appropriate remedial action. It is not conducted in the ordinary course of business. Its findings and supporting materials should be treated as privileged and distributed only on a need-to-know basis.</w:t>
      </w:r>
    </w:p>
    <w:p>
      <w:pPr>
        <w:pStyle w:val="Heading2"/>
      </w:pPr>
      <w:r>
        <w:t>1. Background and Scope</w:t>
      </w:r>
    </w:p>
    <w:p>
      <w:r>
        <w:t>A complaint of harassment was made against a supervisor by Abioye. Since then, additional complaints referencing the same supervisor have surfaced, indicating a pattern rather than an isolated incident. This plan covers all complaints currently identified as relating to that supervisor. It does not extend to the separate meal-break collective action or the planned reduction in force. Those matters are being run on separate tracks by design, and personnel information from this investigation should not be shared with anyone working the RIF or wage-and-hour workstreams except as expressly authorized below.</w:t>
      </w:r>
    </w:p>
    <w:p>
      <w:pPr>
        <w:pStyle w:val="Heading2"/>
      </w:pPr>
      <w:r>
        <w:t>2. Privilege Posture</w:t>
      </w:r>
    </w:p>
    <w:p>
      <w:r>
        <w:t>This investigation was opened on written direction from counsel. That direction is what makes the report and underlying work product privileged; without it, the report is discoverable. All investigators, HR partners, and anyone assisting on this matter should proceed on the understanding that: (a) the investigation is being conducted at counsel's direction and for the purpose of providing legal advice; (b) interview notes, drafts, and analysis should be marked privileged and confidential; and (c) findings should not be shared outside the investigation team without checking with me first, including with RIF planning participants.</w:t>
      </w:r>
    </w:p>
    <w:p>
      <w:pPr>
        <w:pStyle w:val="Heading2"/>
      </w:pPr>
      <w:r>
        <w:t>3. Complaints Identified to Date</w:t>
      </w:r>
    </w:p>
    <w:tbl>
      <w:tblPr>
        <w:tblW w:type="auto" w:w="0"/>
        <w:tblLook w:firstColumn="1" w:firstRow="1" w:lastColumn="0" w:lastRow="0" w:noHBand="0" w:noVBand="1" w:val="04A0"/>
      </w:tblPr>
      <w:tblGrid>
        <w:gridCol w:w="2160"/>
        <w:gridCol w:w="2160"/>
        <w:gridCol w:w="2160"/>
        <w:gridCol w:w="2160"/>
      </w:tblGrid>
      <w:tr>
        <w:tc>
          <w:tcPr>
            <w:tcW w:type="dxa" w:w="2160"/>
          </w:tcPr>
          <w:p>
            <w:r>
              <w:t>Complainant</w:t>
            </w:r>
          </w:p>
        </w:tc>
        <w:tc>
          <w:tcPr>
            <w:tcW w:type="dxa" w:w="2160"/>
          </w:tcPr>
          <w:p>
            <w:r>
              <w:t>Nature of Complaint</w:t>
            </w:r>
          </w:p>
        </w:tc>
        <w:tc>
          <w:tcPr>
            <w:tcW w:type="dxa" w:w="2160"/>
          </w:tcPr>
          <w:p>
            <w:r>
              <w:t>Date Reported</w:t>
            </w:r>
          </w:p>
        </w:tc>
        <w:tc>
          <w:tcPr>
            <w:tcW w:type="dxa" w:w="2160"/>
          </w:tcPr>
          <w:p>
            <w:r>
              <w:t>Status</w:t>
            </w:r>
          </w:p>
        </w:tc>
      </w:tr>
      <w:tr>
        <w:tc>
          <w:tcPr>
            <w:tcW w:type="dxa" w:w="2160"/>
          </w:tcPr>
          <w:p>
            <w:r>
              <w:t>Abioye</w:t>
            </w:r>
          </w:p>
        </w:tc>
        <w:tc>
          <w:tcPr>
            <w:tcW w:type="dxa" w:w="2160"/>
          </w:tcPr>
          <w:p>
            <w:r>
              <w:t>Harassment by supervisor</w:t>
            </w:r>
          </w:p>
        </w:tc>
        <w:tc>
          <w:tcPr>
            <w:tcW w:type="dxa" w:w="2160"/>
          </w:tcPr>
          <w:p>
            <w:r>
              <w:t>On file</w:t>
            </w:r>
          </w:p>
        </w:tc>
        <w:tc>
          <w:tcPr>
            <w:tcW w:type="dxa" w:w="2160"/>
          </w:tcPr>
          <w:p>
            <w:r>
              <w:t>Active — primary complaint</w:t>
            </w:r>
          </w:p>
        </w:tc>
      </w:tr>
      <w:tr>
        <w:tc>
          <w:tcPr>
            <w:tcW w:type="dxa" w:w="2160"/>
          </w:tcPr>
          <w:p>
            <w:r>
              <w:t>Related complainant(s)</w:t>
            </w:r>
          </w:p>
        </w:tc>
        <w:tc>
          <w:tcPr>
            <w:tcW w:type="dxa" w:w="2160"/>
          </w:tcPr>
          <w:p>
            <w:r>
              <w:t>Harassment by same supervisor</w:t>
            </w:r>
          </w:p>
        </w:tc>
        <w:tc>
          <w:tcPr>
            <w:tcW w:type="dxa" w:w="2160"/>
          </w:tcPr>
          <w:p>
            <w:r>
              <w:t>Recently surfaced</w:t>
            </w:r>
          </w:p>
        </w:tc>
        <w:tc>
          <w:tcPr>
            <w:tcW w:type="dxa" w:w="2160"/>
          </w:tcPr>
          <w:p>
            <w:r>
              <w:t>Being scoped for consolidation into this investigation</w:t>
            </w:r>
          </w:p>
        </w:tc>
      </w:tr>
    </w:tbl>
    <w:p>
      <w:r>
        <w:t>As additional complaints come in, they should be logged against this same supervisor and evaluated for whether they belong in this investigation or warrant a separate track. Do not assume overlap without checking; a pattern claim raises different exposure than several unrelated incidents.</w:t>
      </w:r>
    </w:p>
    <w:p>
      <w:pPr>
        <w:pStyle w:val="Heading2"/>
      </w:pPr>
      <w:r>
        <w:t>4. Investigation Steps</w:t>
      </w:r>
    </w:p>
    <w:p>
      <w:pPr>
        <w:pStyle w:val="ListNumber"/>
      </w:pPr>
      <w:r>
        <w:t>Confirm and document counsel's written direction opening the investigation (or, for the additional complaints, confirm they fall under the existing direction rather than requiring a new one).</w:t>
      </w:r>
    </w:p>
    <w:p>
      <w:pPr>
        <w:pStyle w:val="ListNumber"/>
      </w:pPr>
      <w:r>
        <w:t>Select and formally engage an investigator. This is the subject of Wednesday's 9:30am call — options and tradeoffs to be discussed there before anyone is retained.</w:t>
      </w:r>
    </w:p>
    <w:p>
      <w:pPr>
        <w:pStyle w:val="ListNumber"/>
      </w:pPr>
      <w:r>
        <w:t>Preserve relevant records: personnel file, prior complaints or performance notes involving the supervisor, relevant email/chat threads, and scheduling records. Confirm preservation is already underway per Clement's update and extend the hold to cover the newly surfaced complaints.</w:t>
      </w:r>
    </w:p>
    <w:p>
      <w:pPr>
        <w:pStyle w:val="ListNumber"/>
      </w:pPr>
      <w:r>
        <w:t>Prepare a complainant interview protocol: consistent questions, contemporaneous notes, no leading questions, and a clear explanation to each complainant of the investigation's purpose and confidentiality expectations.</w:t>
      </w:r>
    </w:p>
    <w:p>
      <w:pPr>
        <w:pStyle w:val="ListNumber"/>
      </w:pPr>
      <w:r>
        <w:t>Interview Abioye and each additional complainant separately.</w:t>
      </w:r>
    </w:p>
    <w:p>
      <w:pPr>
        <w:pStyle w:val="ListNumber"/>
      </w:pPr>
      <w:r>
        <w:t>Interview the supervisor, after the complainant interviews are substantially complete, following the standard notice-of-allegations and response protocol.</w:t>
      </w:r>
    </w:p>
    <w:p>
      <w:pPr>
        <w:pStyle w:val="ListNumber"/>
      </w:pPr>
      <w:r>
        <w:t>Interview any witnesses identified by complainants or the supervisor, prioritizing those named by more than one complainant.</w:t>
      </w:r>
    </w:p>
    <w:p>
      <w:pPr>
        <w:pStyle w:val="ListNumber"/>
      </w:pPr>
      <w:r>
        <w:t>Assess corroborating evidence: messages, schedules, prior complaints, comparator treatment of other employees.</w:t>
      </w:r>
    </w:p>
    <w:p>
      <w:pPr>
        <w:pStyle w:val="ListNumber"/>
      </w:pPr>
      <w:r>
        <w:t>Prepare a written findings memo addressed to counsel, with credibility assessments and a recommended disposition.</w:t>
      </w:r>
    </w:p>
    <w:p>
      <w:pPr>
        <w:pStyle w:val="ListNumber"/>
      </w:pPr>
      <w:r>
        <w:t>Determine remedial action, if warranted, in coordination with HR and me before anything is communicated to the supervisor or the complainants.</w:t>
      </w:r>
    </w:p>
    <w:p>
      <w:pPr>
        <w:pStyle w:val="Heading2"/>
      </w:pPr>
      <w:r>
        <w:t>5. Interim Protective Measures</w:t>
      </w:r>
    </w:p>
    <w:p>
      <w:pPr>
        <w:pStyle w:val="ListBullet"/>
      </w:pPr>
      <w:r>
        <w:t>Shift reassignment separating the supervisor from complainants — already actioned per Clement's update; confirm it remains in effect for any newly identified complainants.</w:t>
      </w:r>
    </w:p>
    <w:p>
      <w:pPr>
        <w:pStyle w:val="ListBullet"/>
      </w:pPr>
      <w:r>
        <w:t>No-retaliation conversations with each complainant and, separately, with the supervisor — already underway; extend to new complainants as they are identified.</w:t>
      </w:r>
    </w:p>
    <w:p>
      <w:pPr>
        <w:pStyle w:val="ListBullet"/>
      </w:pPr>
      <w:r>
        <w:t>Monitor for retaliation complaints from either side for the duration of the investigation and for a reasonable period after resolution.</w:t>
      </w:r>
    </w:p>
    <w:p>
      <w:pPr>
        <w:pStyle w:val="Heading2"/>
      </w:pPr>
      <w:r>
        <w:t>6. Coordination and Track Separation</w:t>
      </w:r>
    </w:p>
    <w:p>
      <w:r>
        <w:t>The Investigation Lead Alignment Call has been scheduled specifically to keep this investigation distinct from RIF and meal-break planning. The purpose of that call is process alignment only — who is doing what and on what timeline — not a substantive discussion of complaint content with anyone outside the investigation team.</w:t>
      </w:r>
    </w:p>
    <w:p>
      <w:r>
        <w:t>Separately, the Thursday 2pm cross-check session addressed whether any individuals connected to this investigation appear on the preliminary RIF list. That check has occurred; its documented outcome is the gating item before the RIF list is finalized. No complainant, witness, or the supervisor should be included in, or excluded from, the RIF list for reasons connected to this investigation without that cross-check being resolved and documented first.</w:t>
      </w:r>
    </w:p>
    <w:p>
      <w:pPr>
        <w:pStyle w:val="Heading2"/>
      </w:pPr>
      <w:r>
        <w:t>7. Immediate Next Steps</w:t>
      </w:r>
    </w:p>
    <w:p>
      <w:pPr>
        <w:pStyle w:val="ListNumber"/>
      </w:pPr>
      <w:r>
        <w:t>Wednesday 9:30am: decide on investigator (internal HR-led, outside investigator, or co-counsel-led) and confirm scope covers all currently identified complaints against the supervisor.</w:t>
      </w:r>
    </w:p>
    <w:p>
      <w:pPr>
        <w:pStyle w:val="ListNumber"/>
      </w:pPr>
      <w:r>
        <w:t>This week: finalize and circulate the interview protocol to whoever is selected as investigator.</w:t>
      </w:r>
    </w:p>
    <w:p>
      <w:pPr>
        <w:pStyle w:val="ListNumber"/>
      </w:pPr>
      <w:r>
        <w:t>This week: confirm preservation hold has been extended to cover records relevant to the newly surfaced complaints.</w:t>
      </w:r>
    </w:p>
    <w:p>
      <w:pPr>
        <w:pStyle w:val="ListNumber"/>
      </w:pPr>
      <w:r>
        <w:t>Ongoing: log any additional complaints against this supervisor as they arise and route them through me before they are treated as part of, or separate from, this investigation.</w:t>
      </w:r>
    </w:p>
    <w:p>
      <w:pPr>
        <w:pStyle w:val="ListNumber"/>
      </w:pPr>
      <w:r>
        <w:t>Ongoing: keep this workstream off the agenda of any RIF/meal-break planning discussion; use the Investigation Lead Alignment Call for process coordination only.</w:t>
      </w:r>
    </w:p>
    <w:p>
      <w:r>
        <w:t>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