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OEM LICENCE AGREEMENT</w:t>
      </w:r>
    </w:p>
    <w:p>
      <w:r>
        <w:t>This OEM Licence Agreement (the "Agreement") is made as of [DATE] by and between Linden Robotics, Inc., a Delaware corporation with its principal place of business at [ADDRESS] ("Licensor"), and Fairmont Industrial Systems Ltd., a corporation organized under the laws of [JURISDICTION] with its principal place of business at [ADDRESS] ("Licensee" or "Fairmont").</w:t>
      </w:r>
    </w:p>
    <w:p>
      <w:r>
        <w:t>DRAFT — Senior Associate markup pending. Comments and open issues are flagged inline as [KB: ...] and summarized in the Open Issues list at the end of this document.</w:t>
      </w:r>
    </w:p>
    <w:p>
      <w:pPr>
        <w:pStyle w:val="Heading2"/>
      </w:pPr>
      <w:r>
        <w:t>1. Definitions</w:t>
      </w:r>
    </w:p>
    <w:p>
      <w:pPr>
        <w:pStyle w:val="ListNumber"/>
      </w:pPr>
      <w:r>
        <w:t>"Licensed IP" means the patents listed in Exhibit A, the firmware and embedded software listed in Exhibit B, and associated technical documentation, know-how, and trade secrets owned or controlled by Licensor that are necessary to manufacture, integrate, and sell the Licensed Products.</w:t>
      </w:r>
    </w:p>
    <w:p>
      <w:pPr>
        <w:pStyle w:val="ListNumber"/>
      </w:pPr>
      <w:r>
        <w:t>"Licensed Products" means the robotic actuator assemblies identified in Exhibit C, as manufactured by or for Licensee for incorporation into Licensee's branded industrial automation systems.</w:t>
      </w:r>
    </w:p>
    <w:p>
      <w:pPr>
        <w:pStyle w:val="ListNumber"/>
      </w:pPr>
      <w:r>
        <w:t>"Field of Use" means industrial and warehouse automation systems sold under the Fairmont brand, excluding consumer robotics and defense/military applications.</w:t>
      </w:r>
    </w:p>
    <w:p>
      <w:pPr>
        <w:pStyle w:val="ListNumber"/>
      </w:pPr>
      <w:r>
        <w:t>"Territory" means the United States, Canada, and Mexico. [KB: careful here — Fairmont's term sheet references 'North America' broadly; confirm whether Mexico distribution triggers export-control review given Licensor's ECCN classifications on the servo controller firmware.]</w:t>
      </w:r>
    </w:p>
    <w:p>
      <w:pPr>
        <w:pStyle w:val="ListNumber"/>
      </w:pPr>
      <w:r>
        <w:t>"Improvements" means any modification, enhancement, or derivative of the Licensed IP created by either party during the Term.</w:t>
      </w:r>
    </w:p>
    <w:p>
      <w:pPr>
        <w:pStyle w:val="Heading2"/>
      </w:pPr>
      <w:r>
        <w:t>2. Grant of Licence</w:t>
      </w:r>
    </w:p>
    <w:p>
      <w:r>
        <w:t>2.1 Licensor grants to Licensee a non-exclusive, non-transferable, royalty-bearing licence, without the right to sublicense except as expressly permitted in Section 2.3, to use the Licensed IP solely to manufacture, have manufactured, integrate, and sell Licensed Products within the Field of Use and the Territory during the Term.</w:t>
      </w:r>
    </w:p>
    <w:p>
      <w:r>
        <w:t>2.2 [KB: Fairmont's redline requests exclusivity in the Territory for the first 24 months. Recommend against — Linden's supply agreement with Meridian Drives (unrelated engagement, confirm no conflict) contemplates a second OEM partner in Canada by Q3 2026. Propose most-favored-licensee pricing instead of exclusivity.]</w:t>
      </w:r>
    </w:p>
    <w:p>
      <w:r>
        <w:t>2.3 Licensee may engage subcontract manufacturers solely for physical assembly of Licensed Products, provided such subcontractors execute confidentiality undertakings no less protective than Section 6 and Licensee remains fully liable for their compliance.</w:t>
      </w:r>
    </w:p>
    <w:p>
      <w:pPr>
        <w:pStyle w:val="Heading2"/>
      </w:pPr>
      <w:r>
        <w:t>3. Royalties and Payment</w:t>
      </w:r>
    </w:p>
    <w:p>
      <w:r>
        <w:t>3.1 Licensee shall pay Licensor a royalty of [●]% of Net Sales of Licensed Products, payable quarterly within 30 days of quarter-end, accompanied by a royalty statement in the form of Exhibit D.</w:t>
      </w:r>
    </w:p>
    <w:p>
      <w:r>
        <w:t>3.2 A minimum annual royalty of $[●] applies in each Contract Year, non-refundable but creditable against running royalties for that year only.</w:t>
      </w:r>
    </w:p>
    <w:p>
      <w:r>
        <w:t>[KB: Open point — need Cecile's finance model output on Net Sales definition before locking this section; carve-outs for freight, returns, and volume rebates still under discussion.]</w:t>
      </w:r>
    </w:p>
    <w:p>
      <w:pPr>
        <w:pStyle w:val="Heading2"/>
      </w:pPr>
      <w:r>
        <w:t>4. Intellectual Property Ownership</w:t>
      </w:r>
    </w:p>
    <w:p>
      <w:r>
        <w:t>4.1 Licensor retains all right, title, and interest in the Licensed IP, subject only to the licence granted herein.</w:t>
      </w:r>
    </w:p>
    <w:p>
      <w:r>
        <w:t>4.2 Improvements made solely by Licensee's personnel without use of Licensor's confidential information shall be owned by Licensee, subject to a perpetual, royalty-free grant-back licence to Licensor for use outside the Field of Use. Improvements made jointly, or by Licensee using Licensor's Licensed IP or confidential information, shall be jointly owned, with each party free to exploit outside the other's field without accounting, subject to Section 6.</w:t>
      </w:r>
    </w:p>
    <w:p>
      <w:r>
        <w:t>[KB: careful here — this grant-back structure is more favorable to Fairmont than our standard form. Confirm this reflects an actual business concession approved by the client and not just Fairmont's first-draft position that nobody pushed back on.]</w:t>
      </w:r>
    </w:p>
    <w:p>
      <w:pPr>
        <w:pStyle w:val="Heading2"/>
      </w:pPr>
      <w:r>
        <w:t>5. Quality Control and Trademark Use</w:t>
      </w:r>
    </w:p>
    <w:p>
      <w:r>
        <w:t>5.1 Licensee shall manufacture Licensed Products in conformity with the specifications in Exhibit E and shall permit Licensor's representatives to inspect manufacturing facilities on 10 business days' notice, not more than twice per year absent a quality failure.</w:t>
      </w:r>
    </w:p>
    <w:p>
      <w:r>
        <w:t>5.2 Licensee may affix Licensor's trademarks identified in Exhibit F to Licensed Products solely as OEM-component branding in accordance with Licensor's then-current trademark usage guidelines.</w:t>
      </w:r>
    </w:p>
    <w:p>
      <w:pPr>
        <w:pStyle w:val="Heading2"/>
      </w:pPr>
      <w:r>
        <w:t>6. Confidentiality</w:t>
      </w:r>
    </w:p>
    <w:p>
      <w:r>
        <w:t>6.1 Each party shall protect the other's confidential information using at least the same degree of care it uses for its own confidential information of similar importance, and in no event less than reasonable care, for a period of five years following disclosure (perpetually as to trade secrets).</w:t>
      </w:r>
    </w:p>
    <w:p>
      <w:pPr>
        <w:pStyle w:val="Heading2"/>
      </w:pPr>
      <w:r>
        <w:t>7. Term and Termination</w:t>
      </w:r>
    </w:p>
    <w:p>
      <w:r>
        <w:t>7.1 Initial term of five years from the Effective Date, automatically renewing for successive two-year terms unless either party gives 180 days' notice of non-renewal.</w:t>
      </w:r>
    </w:p>
    <w:p>
      <w:r>
        <w:t>7.2 Either party may terminate for uncured material breach following 30 days' written notice, or immediately upon the other party's insolvency.</w:t>
      </w:r>
    </w:p>
    <w:p>
      <w:r>
        <w:t>7.3 Upon termination, Licensee shall have a sell-off period of 180 days for existing inventory of Licensed Products, subject to continued royalty payment.</w:t>
      </w:r>
    </w:p>
    <w:p>
      <w:pPr>
        <w:pStyle w:val="Heading2"/>
      </w:pPr>
      <w:r>
        <w:t>8. Indemnification and Limitation of Liability</w:t>
      </w:r>
    </w:p>
    <w:p>
      <w:r>
        <w:t>8.1 Licensor shall indemnify Licensee against third-party claims that the Licensed IP, as used within the Field of Use, infringes a valid patent, copyright, or trade secret of a third party, subject to standard exclusions for modified or combined use.</w:t>
      </w:r>
    </w:p>
    <w:p>
      <w:r>
        <w:t>8.2 [KB: Fairmont has proposed uncapped indemnification liability. Recommend capping at 2x trailing-twelve-month royalties paid, carving out IP indemnity and confidentiality breaches from the cap, consistent with our standard licence architecture.]</w:t>
      </w:r>
    </w:p>
    <w:p>
      <w:pPr>
        <w:pStyle w:val="Heading2"/>
      </w:pPr>
      <w:r>
        <w:t>9. General Provisions</w:t>
      </w:r>
    </w:p>
    <w:p>
      <w:pPr>
        <w:pStyle w:val="ListBullet"/>
      </w:pPr>
      <w:r>
        <w:t>Governing law: Delaware, without regard to conflicts of laws principles.</w:t>
      </w:r>
    </w:p>
    <w:p>
      <w:pPr>
        <w:pStyle w:val="ListBullet"/>
      </w:pPr>
      <w:r>
        <w:t>Dispute resolution: [●] — confirm whether Fairmont will accept arbitration (AAA Commercial Rules) given prior litigiousness noted in client intake.</w:t>
      </w:r>
    </w:p>
    <w:p>
      <w:pPr>
        <w:pStyle w:val="ListBullet"/>
      </w:pPr>
      <w:r>
        <w:t>Assignment: neither party may assign without consent, except to a successor in a merger or sale of substantially all assets.</w:t>
      </w:r>
    </w:p>
    <w:p>
      <w:pPr>
        <w:pStyle w:val="ListBullet"/>
      </w:pPr>
      <w:r>
        <w:t>Export compliance: Licensee shall comply with all applicable U.S. export control and sanctions laws in connection with the Licensed IP. [KB: careful here — flag to compliance given Territory includes Mexico and firmware may be subject to EAR classification; do not finalize Exhibit B species list until export classification is confirmed.]</w:t>
      </w:r>
    </w:p>
    <w:p>
      <w:pPr>
        <w:pStyle w:val="Heading2"/>
      </w:pPr>
      <w:r>
        <w:t>Exhibits (to be attached)</w:t>
      </w:r>
    </w:p>
    <w:p>
      <w:pPr>
        <w:pStyle w:val="ListNumber"/>
      </w:pPr>
      <w:r>
        <w:t>Exhibit A — Licensed Patents</w:t>
      </w:r>
    </w:p>
    <w:p>
      <w:pPr>
        <w:pStyle w:val="ListNumber"/>
      </w:pPr>
      <w:r>
        <w:t>Exhibit B — Licensed Firmware/Software</w:t>
      </w:r>
    </w:p>
    <w:p>
      <w:pPr>
        <w:pStyle w:val="ListNumber"/>
      </w:pPr>
      <w:r>
        <w:t>Exhibit C — Licensed Products Specification</w:t>
      </w:r>
    </w:p>
    <w:p>
      <w:pPr>
        <w:pStyle w:val="ListNumber"/>
      </w:pPr>
      <w:r>
        <w:t>Exhibit D — Royalty Statement Form</w:t>
      </w:r>
    </w:p>
    <w:p>
      <w:pPr>
        <w:pStyle w:val="ListNumber"/>
      </w:pPr>
      <w:r>
        <w:t>Exhibit E — Manufacturing Specifications and QA Standards</w:t>
      </w:r>
    </w:p>
    <w:p>
      <w:pPr>
        <w:pStyle w:val="ListNumber"/>
      </w:pPr>
      <w:r>
        <w:t>Exhibit F — Trademark Usage Guidelines</w:t>
      </w:r>
    </w:p>
    <w:p>
      <w:pPr>
        <w:pStyle w:val="Heading2"/>
      </w:pPr>
      <w:r>
        <w:t>Open Issues for Client / Partner Review</w:t>
      </w:r>
    </w:p>
    <w:p>
      <w:pPr>
        <w:pStyle w:val="ListNumber"/>
      </w:pPr>
      <w:r>
        <w:t>Exclusivity request (Section 2.2) — recommend rejecting in favor of MFN pricing; needs partner sign-off before next Fairmont call.</w:t>
      </w:r>
    </w:p>
    <w:p>
      <w:pPr>
        <w:pStyle w:val="ListNumber"/>
      </w:pPr>
      <w:r>
        <w:t>Territory scope and Mexico export-control exposure (Section 1, Section 9) — needs compliance input before Exhibit B is finalized.</w:t>
      </w:r>
    </w:p>
    <w:p>
      <w:pPr>
        <w:pStyle w:val="ListNumber"/>
      </w:pPr>
      <w:r>
        <w:t>Net Sales definition and royalty carve-outs (Section 3) — awaiting finance model from Cecile Marchand.</w:t>
      </w:r>
    </w:p>
    <w:p>
      <w:pPr>
        <w:pStyle w:val="ListNumber"/>
      </w:pPr>
      <w:r>
        <w:t>Grant-back/joint ownership terms (Section 4.2) — confirm this is an approved business concession, not an unreviewed drafting default.</w:t>
      </w:r>
    </w:p>
    <w:p>
      <w:pPr>
        <w:pStyle w:val="ListNumber"/>
      </w:pPr>
      <w:r>
        <w:t>Indemnification cap (Section 8.2) — Fairmont has not yet responded to our counter; escalate if no movement by next redline round.</w:t>
      </w:r>
    </w:p>
    <w:p>
      <w:pPr>
        <w:pStyle w:val="ListNumber"/>
      </w:pPr>
      <w:r>
        <w:t>Dispute resolution mechanism (Section 9) — confirm client preference on arbitration vs. litigation given Fairmont's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