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Linden Robotics — Deal Team File</w:t>
      </w:r>
    </w:p>
    <w:p>
      <w:r>
        <w:t>From: Klara Bendtsen, Senior Associate, IP &amp; Technology</w:t>
      </w:r>
    </w:p>
    <w:p>
      <w:r>
        <w:t>Re: Fairmont OEM Licence — Status of Draft Markup and Open Issues</w:t>
      </w:r>
    </w:p>
    <w:p>
      <w:r>
        <w:t>This memo summarizes my markup of the draft OEM Licence Agreement between Linden Robotics, Inc. ("Linden") and Fairmont Industrial Systems, Inc. ("Fairmont") circulated by Fairmont's counsel, and flags the points that need business or partner input before the next redline goes out.</w:t>
      </w:r>
    </w:p>
    <w:p>
      <w:pPr>
        <w:pStyle w:val="Heading2"/>
      </w:pPr>
      <w:r>
        <w:t>1. Grant of Licence (Section 2)</w:t>
      </w:r>
    </w:p>
    <w:p>
      <w:r>
        <w:t>Fairmont's draft grants a licence that is field-limited to "industrial automation equipment" but not further defined. I have narrowed the field definition to reference the product categories listed in Exhibit A (welding cell controllers and associated firmware) so Fairmont cannot expand into Linden's adjacent robotics-arm line without renegotiating. I have also added a carve-out preserving Linden's right to license the same background IP to other OEMs outside Fairmont's field.</w:t>
      </w:r>
    </w:p>
    <w:p>
      <w:pPr>
        <w:pStyle w:val="ListBullet"/>
      </w:pPr>
      <w:r>
        <w:t>careful here — Fairmont's draft grant language is worldwide and perpetual as written; I have inserted a term tied to the 7-year supply relationship with renewal options, matching the commercial deal points from Linden's term sheet.</w:t>
      </w:r>
    </w:p>
    <w:p>
      <w:pPr>
        <w:pStyle w:val="ListBullet"/>
      </w:pPr>
      <w:r>
        <w:t>Sublicensing to Fairmont's contract manufacturers is permitted but I've added a requirement that subs be bound by confidentiality terms at least as protective as the head agreement.</w:t>
      </w:r>
    </w:p>
    <w:p>
      <w:pPr>
        <w:pStyle w:val="Heading2"/>
      </w:pPr>
      <w:r>
        <w:t>2. Improvements and Feedback Data (Section 5)</w:t>
      </w:r>
    </w:p>
    <w:p>
      <w:r>
        <w:t>This is the clause that most needs partner sign-off. Fairmont's draft assigns to Fairmont all improvements arising from field use, including telemetry data generated by Linden's controllers once installed in Fairmont equipment. I have redrafted so that Linden retains ownership of all improvements to its background IP, and Fairmont receives only a licence-back for improvements it independently develops. Telemetry data ownership is split: Fairmont owns the data, Linden gets a perpetual licence to use anonymized/aggregated data for product development.</w:t>
      </w:r>
    </w:p>
    <w:p>
      <w:r>
        <w:t>careful here — this is the single highest-value point in the agreement for Linden's long-term product roadmap and is likely to be the most contested by Fairmont's counsel. Flagging for the partner before we send the redline.</w:t>
      </w:r>
    </w:p>
    <w:p>
      <w:pPr>
        <w:pStyle w:val="Heading2"/>
      </w:pPr>
      <w:r>
        <w:t>3. Quality Control and Trademark Use (Section 7)</w:t>
      </w:r>
    </w:p>
    <w:p>
      <w:r>
        <w:t>Fairmont wants to co-brand end products with the Linden mark. I've added standard quality-control provisions (inspection rights, approved-use guidelines, right to require corrective action) to avoid a naked-licence argument if this agreement is ever tested.</w:t>
      </w:r>
    </w:p>
    <w:p>
      <w:pPr>
        <w:pStyle w:val="Heading2"/>
      </w:pPr>
      <w:r>
        <w:t>4. Termination and Wind-Down (Section 11)</w:t>
      </w:r>
    </w:p>
    <w:p>
      <w:pPr>
        <w:pStyle w:val="ListNumber"/>
      </w:pPr>
      <w:r>
        <w:t>Added a wind-down period of 180 days post-termination for Fairmont to complete units already in production, rather than immediate cessation.</w:t>
      </w:r>
    </w:p>
    <w:p>
      <w:pPr>
        <w:pStyle w:val="ListNumber"/>
      </w:pPr>
      <w:r>
        <w:t>Added return/destruction of confidential technical documentation and certification of destruction within 30 days of wind-down close.</w:t>
      </w:r>
    </w:p>
    <w:p>
      <w:pPr>
        <w:pStyle w:val="ListNumber"/>
      </w:pPr>
      <w:r>
        <w:t>Retained Linden's right to terminate for a change of control of Fairmont involving a competitor of Linden — Fairmont's draft had struck this; I restored it.</w:t>
      </w:r>
    </w:p>
    <w:p>
      <w:pPr>
        <w:pStyle w:val="Heading2"/>
      </w:pPr>
      <w:r>
        <w:t>5. Open Items for Next Call</w:t>
      </w:r>
    </w:p>
    <w:p>
      <w:pPr>
        <w:pStyle w:val="ListBullet"/>
      </w:pPr>
      <w:r>
        <w:t>Confirm royalty structure (per-unit vs. tiered) with Linden finance — not yet reflected in Section 4, currently placeholder brackets.</w:t>
      </w:r>
    </w:p>
    <w:p>
      <w:pPr>
        <w:pStyle w:val="ListBullet"/>
      </w:pPr>
      <w:r>
        <w:t>Need business confirmation on whether Fairmont's requested most-favored-licensee clause is acceptable in any form.</w:t>
      </w:r>
    </w:p>
    <w:p>
      <w:pPr>
        <w:pStyle w:val="ListBullet"/>
      </w:pPr>
      <w:r>
        <w:t>Export control / ITAR classification of the controller firmware still needs confirmation from Linden engineering before Section 9 (Compliance) can be finalized.</w:t>
      </w:r>
    </w:p>
    <w:p>
      <w:r>
        <w:t>Next step: circulate this markup internally for comment, then send the redline to Fairmont's counsel once Section 5 has partner sign-off.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