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File — Linden Robotics / Fairmont OEM Licence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Klara Bendtsen, Senior Associate, IP &amp; Technology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</w:tcPr>
          <w:p>
            <w:r>
              <w:t>Re</w:t>
            </w:r>
          </w:p>
        </w:tc>
        <w:tc>
          <w:tcPr>
            <w:tcW w:type="dxa" w:w="4320"/>
          </w:tcPr>
          <w:p>
            <w:r>
              <w:t>Status of SCC / BAA / DPA Gap Remediation — Data Processing Annex</w:t>
            </w:r>
          </w:p>
        </w:tc>
      </w:tr>
    </w:tbl>
    <w:p>
      <w:pPr>
        <w:pStyle w:val="Heading2"/>
      </w:pPr>
      <w:r>
        <w:t>1. Purpose</w:t>
      </w:r>
    </w:p>
    <w:p>
      <w:r>
        <w:t>This memorandum records the current status of the data-processing annex remediation for the Fairmont OEM licence, following confirmation received today that the previously identified SCC/BAA/DPA gap has been closed. It sets out the remaining steps to finalize the annex and the basis for closing this workstream on the licence.</w:t>
      </w:r>
    </w:p>
    <w:p>
      <w:pPr>
        <w:pStyle w:val="Heading2"/>
      </w:pPr>
      <w:r>
        <w:t>2. Background</w:t>
      </w:r>
    </w:p>
    <w:p>
      <w:r>
        <w:t>In the course of finalizing the OEM licence between Linden Robotics and Fairmont, the data-processing annex was flagged for a gap: the Standard Contractual Clauses (SCCs), Business Associate Agreement (BAA) terms where applicable, and Data Processing Agreement (DPA) provisions were not fully aligned with the cross-border data flows contemplated by the licence, specifically with respect to Fairmont's downstream OEM integrators receiving diagnostic and usage data from licensed units.</w:t>
      </w:r>
    </w:p>
    <w:p>
      <w:pPr>
        <w:pStyle w:val="Heading2"/>
      </w:pPr>
      <w:r>
        <w:t>3. Status Update</w:t>
      </w:r>
    </w:p>
    <w:p>
      <w:pPr>
        <w:pStyle w:val="ListNumber"/>
      </w:pPr>
      <w:r>
        <w:t>Per-Oskar Ravndal (working with Petra) confirmed today that the SCC/BAA/DPA gap identified in the annex is now closed.</w:t>
      </w:r>
    </w:p>
    <w:p>
      <w:pPr>
        <w:pStyle w:val="ListNumber"/>
      </w:pPr>
      <w:r>
        <w:t>Klara Bendtsen confirmed on her end that the annex remediation language is finalized and consistent with the closed gap.</w:t>
      </w:r>
    </w:p>
    <w:p>
      <w:pPr>
        <w:pStyle w:val="ListNumber"/>
      </w:pPr>
      <w:r>
        <w:t>Outstanding item: written confirmation is still needed from Petra on the corresponding closing item on her side of the transaction before the annex can be marked final for signature.</w:t>
      </w:r>
    </w:p>
    <w:p>
      <w:pPr>
        <w:pStyle w:val="Heading2"/>
      </w:pPr>
      <w:r>
        <w:t>4. Remediation Summary</w:t>
      </w:r>
    </w:p>
    <w:p>
      <w:r>
        <w:t>The annex now incorporates: (a) the applicable EU Standard Contractual Clauses (Module 2, controller-to-processor) governing transfer of diagnostic and telemetry data from Linden Robotics to Fairmont; (b) a Business Associate Agreement addendum addressing any health-adjacent data categories arising from Fairmont's OEM integrator use cases; and (c) DPA provisions specifying data minimization, retention limits, and audit rights consistent with Linden Robotics' standard cross-border data terms.</w:t>
      </w:r>
    </w:p>
    <w:p>
      <w:pPr>
        <w:pStyle w:val="Heading2"/>
      </w:pPr>
      <w:r>
        <w:t>5. Next Steps</w:t>
      </w:r>
    </w:p>
    <w:p>
      <w:pPr>
        <w:pStyle w:val="ListNumber"/>
      </w:pPr>
      <w:r>
        <w:t>Obtain Petra's written confirmation closing the corresponding item on her side.</w:t>
      </w:r>
    </w:p>
    <w:p>
      <w:pPr>
        <w:pStyle w:val="ListNumber"/>
      </w:pPr>
      <w:r>
        <w:t>Circulate the finalized annex to both parties' signing groups once confirmation is received.</w:t>
      </w:r>
    </w:p>
    <w:p>
      <w:pPr>
        <w:pStyle w:val="ListNumber"/>
      </w:pPr>
      <w:r>
        <w:t>Update the deal-point matrix to reflect this item as closed.</w:t>
      </w:r>
    </w:p>
    <w:p>
      <w:pPr>
        <w:pStyle w:val="ListNumber"/>
      </w:pPr>
      <w:r>
        <w:t>Retain this memorandum in the file as the record of remediation and sign-off.</w:t>
      </w:r>
    </w:p>
    <w:p>
      <w:pPr>
        <w:pStyle w:val="Heading2"/>
      </w:pPr>
      <w:r>
        <w:t>6. Risk Note</w:t>
      </w:r>
    </w:p>
    <w:p>
      <w:r>
        <w:t>Careful here: until Petra's confirmation is received in writing, this item should remain open on the closing checklist notwithstanding the verbal/chat confirmation referenced above. Do not treat the annex as final for execution purposes until that written confirmation is in hand.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