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To</w:t>
            </w:r>
          </w:p>
        </w:tc>
        <w:tc>
          <w:tcPr>
            <w:tcW w:type="dxa" w:w="4320"/>
          </w:tcPr>
          <w:p>
            <w:r>
              <w:t>File — Linden Robotics / Pryor Trade Secret Litigation</w:t>
            </w:r>
          </w:p>
        </w:tc>
      </w:tr>
      <w:tr>
        <w:tc>
          <w:tcPr>
            <w:tcW w:type="dxa" w:w="4320"/>
          </w:tcPr>
          <w:p>
            <w:r>
              <w:t>From</w:t>
            </w:r>
          </w:p>
        </w:tc>
        <w:tc>
          <w:tcPr>
            <w:tcW w:type="dxa" w:w="4320"/>
          </w:tcPr>
          <w:p>
            <w:r>
              <w:t>Bennett Ashworth</w:t>
            </w:r>
          </w:p>
        </w:tc>
      </w:tr>
      <w:tr>
        <w:tc>
          <w:tcPr>
            <w:tcW w:type="dxa" w:w="4320"/>
          </w:tcPr>
          <w:p>
            <w:r>
              <w:t>Re</w:t>
            </w:r>
          </w:p>
        </w:tc>
        <w:tc>
          <w:tcPr>
            <w:tcW w:type="dxa" w:w="4320"/>
          </w:tcPr>
          <w:p>
            <w:r>
              <w:t>Status of Reply in Support of Motion to Compel; Docket Call Prep; Deposition Summary Notes</w:t>
            </w:r>
          </w:p>
        </w:tc>
      </w:tr>
      <w:tr>
        <w:tc>
          <w:tcPr>
            <w:tcW w:type="dxa" w:w="4320"/>
          </w:tcPr>
          <w:p>
            <w:r>
              <w:t>Matter</w:t>
            </w:r>
          </w:p>
        </w:tc>
        <w:tc>
          <w:tcPr>
            <w:tcW w:type="dxa" w:w="4320"/>
          </w:tcPr>
          <w:p>
            <w:r>
              <w:t>Linden Robotics — Pryor Trade Secret Claim</w:t>
            </w:r>
          </w:p>
        </w:tc>
      </w:tr>
    </w:tbl>
    <w:p>
      <w:pPr>
        <w:pStyle w:val="Heading2"/>
      </w:pPr>
      <w:r>
        <w:t>I. Purpose</w:t>
      </w:r>
    </w:p>
    <w:p>
      <w:r>
        <w:t>This memorandum consolidates the status of the confirmed reply deadline, calendar cross-check for the upcoming docket call, and preliminary observations from the Pryor deposition transcript for use in preparing the reply brief. Section I timeline integration is now closed: Hyun-woo has confirmed the Bates range and discovery-cutoff pincites are fully integrated and closed out. See record — and see the instruction below: every factual assertion in Section IV must carry an exact transcript pincite before this memorandum is relied upon in drafting. This is a working document; the reply itself, when filed, will issue as a PDF.</w:t>
      </w:r>
    </w:p>
    <w:p>
      <w:pPr>
        <w:pStyle w:val="Heading2"/>
      </w:pPr>
      <w:r>
        <w:t>II. Reply Deadline Status</w:t>
      </w:r>
    </w:p>
    <w:p>
      <w:r>
        <w:t>Per the operative scheduling order, the reply deadline is confirmed as 14 days from Thursday's filing, due a week from Monday, as calculated with Thandiwe. Associates are directed to confirm the docket entry reflecting the court's last order (see record, docket no. to be inserted) and to verify that this confirmed deadline matches the clerk's docket, not merely opposing counsel's representation in correspondence. Pryor's counsel represented informally that they do not oppose a short extension; that representation is not binding absent a stipulation or order and should not be relied upon in calculating our deadline. No further extensions are to be requested absent my prior approval.</w:t>
      </w:r>
    </w:p>
    <w:p>
      <w:pPr>
        <w:pStyle w:val="Heading2"/>
      </w:pPr>
      <w:r>
        <w:t>III. Docket Call Preparation</w:t>
      </w:r>
    </w:p>
    <w:p>
      <w:pPr>
        <w:pStyle w:val="ListNumber"/>
      </w:pPr>
      <w:r>
        <w:t>Confirm current status of all pending motions on the docket sheet, cross-checked against chambers' most recent minute order.</w:t>
      </w:r>
    </w:p>
    <w:p>
      <w:pPr>
        <w:pStyle w:val="ListNumber"/>
      </w:pPr>
      <w:r>
        <w:t>Prepare a one-page chronology of discovery disputes for the court's convenience, keyed to exhibit tabs already in the record.</w:t>
      </w:r>
    </w:p>
    <w:p>
      <w:pPr>
        <w:pStyle w:val="ListNumber"/>
      </w:pPr>
      <w:r>
        <w:t>Identify any matters likely to be raised sua sponte by the court regarding the forensic inspection protocol, and prepare responsive talking points.</w:t>
      </w:r>
    </w:p>
    <w:p>
      <w:pPr>
        <w:pStyle w:val="ListNumber"/>
      </w:pPr>
      <w:r>
        <w:t>Before finalizing the motion to compel or any related talking points, confirm the record reflects a live meet-and-confer with Pryor's counsel — not an email exchange. Judge Aldrete's standing order treats correspondence alone as no conference at all, and has sanctioned counsel on that basis; associates are to verify this against the standing order itself, not against the matter file summary. This requirement has been confirmed in and must be finalized before docket call.</w:t>
      </w:r>
    </w:p>
    <w:p>
      <w:pPr>
        <w:pStyle w:val="ListNumber"/>
      </w:pPr>
      <w:r>
        <w:t>Confirm with the paralegal that the courtesy copy binder is assembled and cross-referenced to docket numbers, not internal file identifiers.</w:t>
      </w:r>
    </w:p>
    <w:p>
      <w:pPr>
        <w:pStyle w:val="ListNumber"/>
      </w:pPr>
      <w:r>
        <w:t>Reconfirm calendar entries in the firm system against the court's published docket call calendar; discrepancies to be resolved before end of day.</w:t>
      </w:r>
    </w:p>
    <w:p>
      <w:pPr>
        <w:pStyle w:val="Heading2"/>
      </w:pPr>
      <w:r>
        <w:t>IV. Deposition Summary — Pryor (Preliminary Notes for Reply)</w:t>
      </w:r>
    </w:p>
    <w:p>
      <w:r>
        <w:t>The following observations are drawn from the transcript of Pryor's deposition and are offered to inform the reply brief's argument that Pryor's own testimony corroborates the need for forensic inspection. Section I timeline integration and the associated Bates range/discovery-cutoff pincites have been closed out per Hyun-woo's confirmation. Each bullet below must still carry an exact pincite (page:line) before this summary is relied upon in drafting; placeholders remain marked pending associate verification against the certified transcript where noted.</w:t>
      </w:r>
    </w:p>
    <w:p>
      <w:pPr>
        <w:pStyle w:val="ListBullet"/>
      </w:pPr>
      <w:r>
        <w:t>Pryor testified he 'may have' retained certain design files on a personal external drive after departure from Linden Robotics — testimony that directly undercuts his sworn discovery responses denying possession of any company materials. See record, Tr. at [PINCITE PENDING — insert exact page:line]; verify against certified transcript before citing in brief.</w:t>
      </w:r>
    </w:p>
    <w:p>
      <w:pPr>
        <w:pStyle w:val="ListBullet"/>
      </w:pPr>
      <w:r>
        <w:t>Pryor was unable to identify the specific date on which he claims to have deleted the files in question, and gave inconsistent answers as to whether deletion occurred before or after receipt of the litigation hold notice. See record, Tr. at [PINCITE PENDING].</w:t>
      </w:r>
    </w:p>
    <w:p>
      <w:pPr>
        <w:pStyle w:val="ListBullet"/>
      </w:pPr>
      <w:r>
        <w:t>Pryor conceded under questioning that he communicated with at least one prospective employer using a personal email account during the notice period, contradicting his interrogatory response that all such communications were made from his employer-issued account. See record, Tr. at [PINCITE PENDING]; cross-reference against interrogatory response number for the contradiction to read as independently sufficient.</w:t>
      </w:r>
    </w:p>
    <w:p>
      <w:pPr>
        <w:pStyle w:val="ListBullet"/>
      </w:pPr>
      <w:r>
        <w:t>Counsel for Pryor repeatedly instructed the witness not to answer questions concerning the substance of communications with the prospective employer, asserting privilege objections that were not well-founded and that we intend to raise with the court at the docket call if not otherwise resolved. See record, Tr. at [PINCITE PENDING — instruction colloquy]. Flag: this is currently the weakest-supported bullet in the summary; do not carry into the reply without the exact colloquy citation.</w:t>
      </w:r>
    </w:p>
    <w:p>
      <w:pPr>
        <w:pStyle w:val="ListBullet"/>
      </w:pPr>
      <w:r>
        <w:t>The inconsistencies above, taken together, materially strengthen the argument that inspection under a neutral forensic protocol is the only means of testing Pryor's credibility on the central factual dispute — whether he retained and used Linden's trade secret design files. See record (composite cite to the pincites above, once inserted).</w:t>
      </w:r>
    </w:p>
    <w:p>
      <w:pPr>
        <w:pStyle w:val="Heading2"/>
      </w:pPr>
      <w:r>
        <w:t>V. Coordination with Team</w:t>
      </w:r>
    </w:p>
    <w:p>
      <w:r>
        <w:t>Per Ulrich Bergmann's end-of-day status note, the exception list has been filed and the Kowalczyk-related matter is in hand; that workstream should not delay reply preparation. Hyun-woo has closed out Section I timeline integration, with the Bates range and discovery-cutoff pincites fully integrated and confirmed; the fully integrated version has been sent for final integration. Associates assigned to the reply are directed to (1) integrate the deposition citations above into the draft, tying completion to the confirmed reply deadline a week from Monday, and (2) close out every remaining pincite placeholder in Section IV before circulation — no citation to the transcript goes into the reply as 'see record' without an exact page:line behind it. I will mark up the draft directly rather than annotate line-by-line; flag any citation you believe I have altered in error.</w:t>
      </w:r>
    </w:p>
    <w:p>
      <w:pPr>
        <w:pStyle w:val="Heading2"/>
      </w:pPr>
      <w:r>
        <w:t>VI. Next Steps</w:t>
      </w:r>
    </w:p>
    <w:p>
      <w:pPr>
        <w:pStyle w:val="ListNumber"/>
      </w:pPr>
      <w:r>
        <w:t>Associates: finalize reply draft incorporating deposition citations with exact pincites (no open placeholders), circulate ahead of the confirmed reply deadline a week from Monday.</w:t>
      </w:r>
    </w:p>
    <w:p>
      <w:pPr>
        <w:pStyle w:val="ListNumber"/>
      </w:pPr>
      <w:r>
        <w:t>Associates: confirm and document the meet-and-confer record required by Judge Aldrete's standing order before the motion to compel is finalized — confirmed complete per Section III.</w:t>
      </w:r>
    </w:p>
    <w:p>
      <w:pPr>
        <w:pStyle w:val="ListNumber"/>
      </w:pPr>
      <w:r>
        <w:t>Paralegal: confirm docket call calendar cross-check and courtesy binder assembly today.</w:t>
      </w:r>
    </w:p>
    <w:p>
      <w:pPr>
        <w:pStyle w:val="ListNumber"/>
      </w:pPr>
      <w:r>
        <w:t>Bennett Ashworth: review and finalize reply for filing; reply to be filed and served as a PDF once executed, due a week from Monday.</w:t>
      </w:r>
    </w:p>
    <w:p>
      <w:pPr>
        <w:pStyle w:val="ListNumber"/>
      </w:pPr>
      <w:r>
        <w:t>All: no further extensions to be requested absent my prior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