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Linden Robotics v. Pryor — Opposition to Motion to Compel / Motion for Summary Judgment (Draft)</w:t>
      </w:r>
    </w:p>
    <w:p>
      <w:r>
        <w:t>This draft consolidates the associate contributions circulated this morning (Duchamp, Marchand, Bae, Abara) into a single working document, now revised on partner review. Per the docket call this morning, the filing deadline is today at 4:00 PM ET. This document is the operative draft; supersede all prior redlines circulated by individual associates. [BA: Second pass below — argument order resequenced to lead with our strongest independent ground. Tighten citations before this leaves the building. See record on every factual assertion; I want a page cite, not a paraphrase.]</w:t>
      </w:r>
    </w:p>
    <w:p>
      <w:pPr>
        <w:pStyle w:val="Heading2"/>
      </w:pPr>
      <w:r>
        <w:t>I. Preliminary Statement</w:t>
      </w:r>
    </w:p>
    <w:p>
      <w:r>
        <w:t>Plaintiff Linden Robotics, Inc. moves for summary judgment on its trade secret misappropriation claim against Defendant Pryor on the theory that Pryor's post-departure conduct at his current employer necessarily relied on confidential process specifications belonging to Linden Robotics. The motion should be denied on the papers alone. Linden Robotics bears the burden on every element of a trade secret claim under the governing state Uniform Trade Secrets Act, and it has not carried that burden here: it has not shown the information was treated as secret, and it has not rebutted Pryor's unchallenged testimony that his post-departure work draws on techniques predating his employment. See record, Ex. 14 (Pryor Dep. 112:4-118:22). The record establishes a genuine dispute of material fact as to (1) whether Plaintiff's own document retention practices foreclose treating the information as secret in the first instance, (2) whether the information at issue qualifies as a trade secret at all, and (3) whether Pryor's knowledge derives from general skill and experience rather than from Linden Robotics' proprietary materials. Each ground below is independently sufficient to defeat summary judgment; together, they compel denial. [BA: [CITE: burden-shifting signal case — insert before III.A discussion, do not file on 'see record' alone] Preview order now tracks the resequenced Argument section — lead with the segregation failure, then trade secret status, then general skill, then the expert/timing dispute.]</w:t>
      </w:r>
    </w:p>
    <w:p>
      <w:pPr>
        <w:pStyle w:val="Heading2"/>
      </w:pPr>
      <w:r>
        <w:t>II. Statement of Facts</w:t>
      </w:r>
    </w:p>
    <w:p>
      <w:pPr>
        <w:pStyle w:val="ListNumber"/>
      </w:pPr>
      <w:r>
        <w:t>Pryor was employed by Linden Robotics from March 2019 to August 2024 as a senior controls engineer.</w:t>
      </w:r>
    </w:p>
    <w:p>
      <w:pPr>
        <w:pStyle w:val="ListNumber"/>
      </w:pPr>
      <w:r>
        <w:t>Pryor's employment agreement contained a confidentiality provision but no post-employment non-compete enforceable in this jurisdiction. See record, Ex. [PENDING — insert agreement exhibit number] (Pryor Employment Agreement) — cited directly here, not solely in argument.</w:t>
      </w:r>
    </w:p>
    <w:p>
      <w:pPr>
        <w:pStyle w:val="ListNumber"/>
      </w:pPr>
      <w:r>
        <w:t>Linden Robotics has not produced evidence that the specific calibration parameters at issue were segregated from general engineering know-how or marked as confidential in the ordinary course.</w:t>
      </w:r>
    </w:p>
    <w:p>
      <w:pPr>
        <w:pStyle w:val="ListNumber"/>
      </w:pPr>
      <w:r>
        <w:t>Linden Robotics' own document retention policy, produced in this litigation, does not list the calibration specifications as a protected category — a fact Plaintiff's motion does not address. [BA: This is the strongest fact in the brief. See record, Ex. 9 — pincite must be exact; Lucien's pass is pending on this.]</w:t>
      </w:r>
    </w:p>
    <w:p>
      <w:pPr>
        <w:pStyle w:val="ListNumber"/>
      </w:pPr>
      <w:r>
        <w:t>Pryor's current employer's product, per the deposition testimony of its VP of Engineering (Ex. 22), was under development before Pryor's hire date. [BA: Confirm page range with Hyunwoo before filing — flagged below in internal note, still pending.]</w:t>
      </w:r>
    </w:p>
    <w:p>
      <w:pPr>
        <w:pStyle w:val="Heading2"/>
      </w:pPr>
      <w:r>
        <w:t>III. Argument</w:t>
      </w:r>
    </w:p>
    <w:p>
      <w:r>
        <w:t>Summary judgment is warranted only where no genuine dispute of material fact exists and the movant is entitled to judgment as a matter of law. Linden Robotics cannot meet that standard on this record for four independent reasons, each addressed below and each sufficient standing alone. [BA: Four independent, severable grounds is right for this bench — Aldrete-type judges favor holdings that don't depend on one another. Led with the strongest ground first this pass. See record throughout.]</w:t>
      </w:r>
    </w:p>
    <w:p>
      <w:pPr>
        <w:pStyle w:val="Heading3"/>
      </w:pPr>
      <w:r>
        <w:t>A. Plaintiff's Failure to Segregate the Information Independently Defeats the Motion</w:t>
      </w:r>
    </w:p>
    <w:p>
      <w:r>
        <w:t>Plaintiff's own document retention practices — see record, Ex. 9 — show no internal segregation of the calibration parameters from ordinary engineering documentation. A party that does not treat information as secret in its own files cannot credibly ask a court to find, as a matter of law, that a former employee misappropriated a trade secret. This ground is independently sufficient and does not depend on how the general-skill dispute in Section III.C or the expert dispute in Section III.D is resolved. [BA: Leading with this now, as flagged last pass — our strongest ground should not be buried at III.D. See record confirmation on Ex. 9 cites is still pending per internal note below; hold filing until closed.]</w:t>
      </w:r>
    </w:p>
    <w:p>
      <w:pPr>
        <w:pStyle w:val="Heading3"/>
      </w:pPr>
      <w:r>
        <w:t>B. Linden Robotics Has Not Carried Its Burden on Trade Secret Status</w:t>
      </w:r>
    </w:p>
    <w:p>
      <w:r>
        <w:t>Under [CITE: Uniform Trade Secrets Act section number — insert before filing, Lucien's pincite check pending], Plaintiff bears the burden of establishing that the information (1) derives independent economic value from not being generally known, and (2) was subject to reasonable efforts to maintain secrecy. Plaintiff's motion assumes both elements rather than proving them, which is itself grounds to deny summary judgment. See record, Ex. 9 (Linden Robotics document retention policy, produced Jan. 2025) — the policy does not identify the calibration specifications as a protected category. This omission is fatal on summary judgment; a factfinder could reasonably conclude the information was not treated as secret internally, and Plaintiff cannot shift its burden to Pryor by simply asserting confidentiality after the fact. [BA: Statute section cite must be express, not 'the applicable Uniform Trade Secrets Act standard.' Do not file until Lucien's pincite check closes. See record.]</w:t>
      </w:r>
    </w:p>
    <w:p>
      <w:pPr>
        <w:pStyle w:val="Heading3"/>
      </w:pPr>
      <w:r>
        <w:t>C. Pryor's Knowledge Is General Skill and Experience, Not Misappropriation</w:t>
      </w:r>
    </w:p>
    <w:p>
      <w:r>
        <w:t>Courts in this jurisdiction have declined to enjoin former employees from applying general engineering competence developed over a career, see [CITE: signal case required — flag for cite pass, do not file on 'see record' alone], and Plaintiff identifies no case extending liability to knowledge predating employment. See record, Ex. 14 at 115:2-118:22, in which Pryor testifies without contradiction that the calibration approach he used post-departure was a variant of techniques he learned in graduate coursework prior to his employment with Linden Robotics. Linden Robotics offers no evidence — expert or otherwise — disputing that this testimony is accurate, and unrebutted deposition testimony of this kind should be credited on summary judgment. This ground, independent of Sections III.A and III.B, likewise requires denial of the motion. [BA: This sentence is still the weakest in the brief as drafted — needs a case name, not just 'see record.' Flag for whoever runs final cite pass.]</w:t>
      </w:r>
    </w:p>
    <w:p>
      <w:pPr>
        <w:pStyle w:val="Heading3"/>
      </w:pPr>
      <w:r>
        <w:t>D. Disputed Issues of Fact Preclude Summary Judgment</w:t>
      </w:r>
    </w:p>
    <w:p>
      <w:r>
        <w:t>At minimum, the competing expert declarations — Linden Robotics' Ex. 18 versus Pryor's Ex. 19 — create a genuine dispute as to substantial similarity and independent derivation. Summary judgment is inappropriate where, as here, resolution turns on credibility determinations regarding expert methodology. See record, Ex. 22 (VP of Engineering deposition testimony), which independently corroborates independent development by establishing that the competing product was under development before Pryor's hire date. That timing evidence, standing apart from the expert dispute, is itself sufficient to defeat judgment as a matter of law. [BA: The standalone-sufficiency sentence at the end is doing real work — keep it. See record on Ex. 22 page range once Hyunwoo confirms; do not let this go out with an open pincite.]</w:t>
      </w:r>
    </w:p>
    <w:p>
      <w:pPr>
        <w:pStyle w:val="Heading2"/>
      </w:pPr>
      <w:r>
        <w:t>IV. Conclusion</w:t>
      </w:r>
    </w:p>
    <w:p>
      <w:r>
        <w:t>For the foregoing reasons, Pryor respectfully requests that the Court deny Linden Robotics' motion for summary judgment in its entirety, and award Pryor his costs incurred in opposing the motion to the extent permitted by rule or statute.</w:t>
      </w:r>
    </w:p>
    <w:p>
      <w:pPr>
        <w:pStyle w:val="Heading2"/>
      </w:pPr>
      <w:r>
        <w:t>Internal Note — Not for Filing</w:t>
      </w:r>
    </w:p>
    <w:p>
      <w:r>
        <w:t>Filing status is confirmed clean. Cecile reports cite-checking is progressing. Before this goes to PDF for filing: (1) confirm Ex. 22 deposition excerpt page range with Hyunwoo — pending; (2) Lucien to verify no gap in the trade secret statute citations pincites — pending; (3) confirm the III.A segregation argument (formerly III.D) is fully supported by Ex. 9 cites — pending; (4) insert signal case for III.C general-skill argument and burden-shifting preview in Section I — new open item this pass; (5) Noor's earlier flag on this matter has been followed up on directly and confirmed closed, no cross-reference needed here. Target: finalize by 3:00 PM ET to leave a review buffer ahead of the 4:00 PM deadline. Once approved, refile as opposition-brief-filed.pdf per firm practice for served documents. [BA — closing note on this pass: Resequenced Argument section to lead with the segregation ground (now III.A), consistent with my prior instruction not to bury our strongest point. Added two open citation items (burden-shifting signal case in Section I; general-skill signal case in III.C) to the four — now five — open items; three of the original items (Ex. 22 page range, statute pincites, Ex. 9 support) stand exactly as previously flagged and remain pending. Document stays a .docx until all open items clear. Do not advance to PDF until Lucien and Hyunwoo close out. See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