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Itemized Fee Overage Breakdown Against Approved Budget</w:t>
      </w:r>
    </w:p>
    <w:p>
      <w:r>
        <w:t>Prepared for: Desmond. Prepared by: Bennett Ashworth. Status: Corrected/Final, superseding the preliminary version previously circulated as "Marguerite/Desmond Engagement — Fee Overage Breakdown Against Approved Budget (Preliminary)."</w:t>
      </w:r>
    </w:p>
    <w:p>
      <w:r>
        <w:t>This memorandum sets out, on a line-item basis, the invoiced amounts that fall outside the scope or rate parameters of the approved panel billing guidelines, together with the associated overage against the approved budget. The figures below are drawn from the WIP and Realization Report for the billing cycle close, which has been confirmed final following resolution of the Sandhurst time-status question, with no outstanding items remaining on that report.</w:t>
      </w:r>
    </w:p>
    <w:p>
      <w:pPr>
        <w:pStyle w:val="Heading2"/>
      </w:pPr>
      <w:r>
        <w:t>I. Basis and Status of Underlying Data</w:t>
      </w:r>
    </w:p>
    <w:p>
      <w:r>
        <w:t>This breakdown incorporates the WIP and Realization Report figures as closed and final for the cycle. This office had committed to incorporating Desmond's marked-up line-item detail if it arrived before this delivery date. That marked-up detail was not received in time to be reflected in this version. Delivery of the corrected invoice breakdown is being made on the previously committed end-of-week timetable notwithstanding that gap. If Desmond's line-item markup is subsequently provided, a further corrected version will follow; this version should not be read as foreclosing adjustment on that basis.</w:t>
      </w:r>
    </w:p>
    <w:p>
      <w:pPr>
        <w:pStyle w:val="Heading2"/>
      </w:pPr>
      <w:r>
        <w:t>II. Summary of Non-Compliance Categories</w:t>
      </w:r>
    </w:p>
    <w:p>
      <w:r>
        <w:t>The invoiced amounts at issue fall into the following categories of non-compliance with panel billing guidelines, each addressed in turn below with reference to the realization figures for the cycle:</w:t>
      </w:r>
    </w:p>
    <w:p>
      <w:pPr>
        <w:pStyle w:val="ListNumber"/>
      </w:pPr>
      <w:r>
        <w:t>Rate non-compliance: time entries billed at rates exceeding the panel-approved rate schedule for the relevant timekeeper tier.</w:t>
      </w:r>
    </w:p>
    <w:p>
      <w:pPr>
        <w:pStyle w:val="ListNumber"/>
      </w:pPr>
      <w:r>
        <w:t>Task-code and block-billing non-compliance: entries lacking the task-code granularity required under the panel guidelines, precluding line-by-line verification against budget categories.</w:t>
      </w:r>
    </w:p>
    <w:p>
      <w:pPr>
        <w:pStyle w:val="ListNumber"/>
      </w:pPr>
      <w:r>
        <w:t>Out-of-scope work: time recorded against workstreams not within the approved scope of engagement or budget authorization.</w:t>
      </w:r>
    </w:p>
    <w:p>
      <w:pPr>
        <w:pStyle w:val="ListNumber"/>
      </w:pPr>
      <w:r>
        <w:t>Staffing-ratio non-compliance: senior-associate and partner time recorded in excess of the ratios permitted under the panel guidelines relative to associate and paralegal time.</w:t>
      </w:r>
    </w:p>
    <w:p>
      <w:pPr>
        <w:pStyle w:val="ListNumber"/>
      </w:pPr>
      <w:r>
        <w:t>Budget overage: aggregate fees for the cycle exceeding the approved budget ceiling for the corresponding phase of the matter.</w:t>
      </w:r>
    </w:p>
    <w:p>
      <w:pPr>
        <w:pStyle w:val="Heading2"/>
      </w:pPr>
      <w:r>
        <w:t>III. Itemized Breakdown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Approved Budget ($)</w:t>
            </w:r>
          </w:p>
        </w:tc>
        <w:tc>
          <w:tcPr>
            <w:tcW w:type="dxa" w:w="1440"/>
          </w:tcPr>
          <w:p>
            <w:r>
              <w:t>Invoiced/WIP ($)</w:t>
            </w:r>
          </w:p>
        </w:tc>
        <w:tc>
          <w:tcPr>
            <w:tcW w:type="dxa" w:w="1440"/>
          </w:tcPr>
          <w:p>
            <w:r>
              <w:t>Overage ($)</w:t>
            </w:r>
          </w:p>
        </w:tc>
        <w:tc>
          <w:tcPr>
            <w:tcW w:type="dxa" w:w="1440"/>
          </w:tcPr>
          <w:p>
            <w:r>
              <w:t>Overage (%)</w:t>
            </w:r>
          </w:p>
        </w:tc>
        <w:tc>
          <w:tcPr>
            <w:tcW w:type="dxa" w:w="1440"/>
          </w:tcPr>
          <w:p>
            <w:r>
              <w:t>Basis</w:t>
            </w:r>
          </w:p>
        </w:tc>
      </w:tr>
      <w:tr>
        <w:tc>
          <w:tcPr>
            <w:tcW w:type="dxa" w:w="1440"/>
          </w:tcPr>
          <w:p>
            <w:r>
              <w:t>Rate non-compliance</w:t>
            </w:r>
          </w:p>
        </w:tc>
        <w:tc>
          <w:tcPr>
            <w:tcW w:type="dxa" w:w="1440"/>
          </w:tcPr>
          <w:p>
            <w:r>
              <w:t>48,000</w:t>
            </w:r>
          </w:p>
        </w:tc>
        <w:tc>
          <w:tcPr>
            <w:tcW w:type="dxa" w:w="1440"/>
          </w:tcPr>
          <w:p>
            <w:r>
              <w:t>54,720</w:t>
            </w:r>
          </w:p>
        </w:tc>
        <w:tc>
          <w:tcPr>
            <w:tcW w:type="dxa" w:w="1440"/>
          </w:tcPr>
          <w:p>
            <w:r>
              <w:t>6,720</w:t>
            </w:r>
          </w:p>
        </w:tc>
        <w:tc>
          <w:tcPr>
            <w:tcW w:type="dxa" w:w="1440"/>
          </w:tcPr>
          <w:p>
            <w:r>
              <w:t>14.0%</w:t>
            </w:r>
          </w:p>
        </w:tc>
        <w:tc>
          <w:tcPr>
            <w:tcW w:type="dxa" w:w="1440"/>
          </w:tcPr>
          <w:p>
            <w:r>
              <w:t>Panel rate schedule vs. WIP realization detail</w:t>
            </w:r>
          </w:p>
        </w:tc>
      </w:tr>
      <w:tr>
        <w:tc>
          <w:tcPr>
            <w:tcW w:type="dxa" w:w="1440"/>
          </w:tcPr>
          <w:p>
            <w:r>
              <w:t>Task-code/block-billing non-compliance</w:t>
            </w:r>
          </w:p>
        </w:tc>
        <w:tc>
          <w:tcPr>
            <w:tcW w:type="dxa" w:w="1440"/>
          </w:tcPr>
          <w:p>
            <w:r>
              <w:t>n/a (compliance issue, not budget line)</w:t>
            </w:r>
          </w:p>
        </w:tc>
        <w:tc>
          <w:tcPr>
            <w:tcW w:type="dxa" w:w="1440"/>
          </w:tcPr>
          <w:p>
            <w:r>
              <w:t>31,150</w:t>
            </w:r>
          </w:p>
        </w:tc>
        <w:tc>
          <w:tcPr>
            <w:tcW w:type="dxa" w:w="1440"/>
          </w:tcPr>
          <w:p>
            <w:r>
              <w:t>n/a</w:t>
            </w:r>
          </w:p>
        </w:tc>
        <w:tc>
          <w:tcPr>
            <w:tcW w:type="dxa" w:w="1440"/>
          </w:tcPr>
          <w:p>
            <w:r>
              <w:t>n/a</w:t>
            </w:r>
          </w:p>
        </w:tc>
        <w:tc>
          <w:tcPr>
            <w:tcW w:type="dxa" w:w="1440"/>
          </w:tcPr>
          <w:p>
            <w:r>
              <w:t>Entries flagged for insufficient task-code detail</w:t>
            </w:r>
          </w:p>
        </w:tc>
      </w:tr>
      <w:tr>
        <w:tc>
          <w:tcPr>
            <w:tcW w:type="dxa" w:w="1440"/>
          </w:tcPr>
          <w:p>
            <w:r>
              <w:t>Out-of-scope work</w:t>
            </w:r>
          </w:p>
        </w:tc>
        <w:tc>
          <w:tcPr>
            <w:tcW w:type="dxa" w:w="1440"/>
          </w:tcPr>
          <w:p>
            <w:r>
              <w:t>0 (unauthorized)</w:t>
            </w:r>
          </w:p>
        </w:tc>
        <w:tc>
          <w:tcPr>
            <w:tcW w:type="dxa" w:w="1440"/>
          </w:tcPr>
          <w:p>
            <w:r>
              <w:t>9,400</w:t>
            </w:r>
          </w:p>
        </w:tc>
        <w:tc>
          <w:tcPr>
            <w:tcW w:type="dxa" w:w="1440"/>
          </w:tcPr>
          <w:p>
            <w:r>
              <w:t>9,400</w:t>
            </w:r>
          </w:p>
        </w:tc>
        <w:tc>
          <w:tcPr>
            <w:tcW w:type="dxa" w:w="1440"/>
          </w:tcPr>
          <w:p>
            <w:r>
              <w:t>100.0%</w:t>
            </w:r>
          </w:p>
        </w:tc>
        <w:tc>
          <w:tcPr>
            <w:tcW w:type="dxa" w:w="1440"/>
          </w:tcPr>
          <w:p>
            <w:r>
              <w:t>No corresponding budget authorization on file</w:t>
            </w:r>
          </w:p>
        </w:tc>
      </w:tr>
      <w:tr>
        <w:tc>
          <w:tcPr>
            <w:tcW w:type="dxa" w:w="1440"/>
          </w:tcPr>
          <w:p>
            <w:r>
              <w:t>Staffing-ratio non-compliance</w:t>
            </w:r>
          </w:p>
        </w:tc>
        <w:tc>
          <w:tcPr>
            <w:tcW w:type="dxa" w:w="1440"/>
          </w:tcPr>
          <w:p>
            <w:r>
              <w:t>62,000</w:t>
            </w:r>
          </w:p>
        </w:tc>
        <w:tc>
          <w:tcPr>
            <w:tcW w:type="dxa" w:w="1440"/>
          </w:tcPr>
          <w:p>
            <w:r>
              <w:t>74,860</w:t>
            </w:r>
          </w:p>
        </w:tc>
        <w:tc>
          <w:tcPr>
            <w:tcW w:type="dxa" w:w="1440"/>
          </w:tcPr>
          <w:p>
            <w:r>
              <w:t>12,860</w:t>
            </w:r>
          </w:p>
        </w:tc>
        <w:tc>
          <w:tcPr>
            <w:tcW w:type="dxa" w:w="1440"/>
          </w:tcPr>
          <w:p>
            <w:r>
              <w:t>20.7%</w:t>
            </w:r>
          </w:p>
        </w:tc>
        <w:tc>
          <w:tcPr>
            <w:tcW w:type="dxa" w:w="1440"/>
          </w:tcPr>
          <w:p>
            <w:r>
              <w:t>Partner/senior-associate hours vs. approved ratio</w:t>
            </w:r>
          </w:p>
        </w:tc>
      </w:tr>
      <w:tr>
        <w:tc>
          <w:tcPr>
            <w:tcW w:type="dxa" w:w="1440"/>
          </w:tcPr>
          <w:p>
            <w:r>
              <w:t>Total cycle overage</w:t>
            </w:r>
          </w:p>
        </w:tc>
        <w:tc>
          <w:tcPr>
            <w:tcW w:type="dxa" w:w="1440"/>
          </w:tcPr>
          <w:p>
            <w:r>
              <w:t>110,000</w:t>
            </w:r>
          </w:p>
        </w:tc>
        <w:tc>
          <w:tcPr>
            <w:tcW w:type="dxa" w:w="1440"/>
          </w:tcPr>
          <w:p>
            <w:r>
              <w:t>138,980</w:t>
            </w:r>
          </w:p>
        </w:tc>
        <w:tc>
          <w:tcPr>
            <w:tcW w:type="dxa" w:w="1440"/>
          </w:tcPr>
          <w:p>
            <w:r>
              <w:t>28,980</w:t>
            </w:r>
          </w:p>
        </w:tc>
        <w:tc>
          <w:tcPr>
            <w:tcW w:type="dxa" w:w="1440"/>
          </w:tcPr>
          <w:p>
            <w:r>
              <w:t>26.3%</w:t>
            </w:r>
          </w:p>
        </w:tc>
        <w:tc>
          <w:tcPr>
            <w:tcW w:type="dxa" w:w="1440"/>
          </w:tcPr>
          <w:p>
            <w:r>
              <w:t>WIP and Realization Report, billing cycle close</w:t>
            </w:r>
          </w:p>
        </w:tc>
      </w:tr>
    </w:tbl>
    <w:p>
      <w:pPr>
        <w:pStyle w:val="Heading2"/>
      </w:pPr>
      <w:r>
        <w:t>IV. Confirmation on Related Matters</w:t>
      </w:r>
    </w:p>
    <w:p>
      <w:r>
        <w:t>For the avoidance of doubt, and consistent with prior communications to Desmond, this office confirms the following remain unchanged since the last update: liability exposure, the damages/settlement range, anticipated litigation spend, and coverage posture. The reserve figure remains accurate and reconciles with the board exposure package prepared for Thursday's meeting. Except for the specific categories of non-compliance itemized above, billing on this matter otherwise conforms to panel guidelines, and no unapproved out-of-scope work beyond the item identified in Section III is reflected in the cycle's WIP.</w:t>
      </w:r>
    </w:p>
    <w:p>
      <w:pPr>
        <w:pStyle w:val="Heading2"/>
      </w:pPr>
      <w:r>
        <w:t>V. Delivery</w:t>
      </w:r>
    </w:p>
    <w:p>
      <w:r>
        <w:t>This corrected/final breakdown is delivered to Desmond by end of week as committed. See record for the underlying WIP and Realization Report and the preliminary breakdown this version supersedes.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