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From: Jamal Okonkwo, Counsel, Employment. Re: New Matter Intake — Multi-Site Wage-and-Hour Matter. This matter is distinct from the Sable Ridge driver meal-break collective action and should not be cross-referenced with it in pleadings, discovery, or client communications absent a documented basis for consolidation.</w:t>
      </w:r>
    </w:p>
    <w:p>
      <w:pPr>
        <w:pStyle w:val="Heading2"/>
      </w:pPr>
      <w:r>
        <w:t>1. Purpose</w:t>
      </w:r>
    </w:p>
    <w:p>
      <w:r>
        <w:t>This memorandum records initial intake for a prospective multi-site wage-and-hour matter, sets out what is known and unknown at this stage, and flags the conflicts and scoping questions that need resolution before further work is billed to the file.</w:t>
      </w:r>
    </w:p>
    <w:p>
      <w:pPr>
        <w:pStyle w:val="Heading2"/>
      </w:pPr>
      <w:r>
        <w:t>2. Distinction from Sable Ridge</w:t>
      </w:r>
    </w:p>
    <w:p>
      <w:r>
        <w:t>Sable Ridge is a driver meal-break collective action proceeding on its own docket. This new matter involves a different client posture (multi-site, not single-fleet) and, on current information, different factual predicates. The two should be tracked separately in timekeeping and in any pleading captions. Any docket-entry ownership question raised internally regarding Sable Ridge was resolved this week — Lucien could not tie the entry in question to this matter's claims, and Rosalie and Thandiwe confirmed no further action was needed on that thread. That resolution does not bear on this intake and is noted here only to close the loop.</w:t>
      </w:r>
    </w:p>
    <w:p>
      <w:pPr>
        <w:pStyle w:val="Heading2"/>
      </w:pPr>
      <w:r>
        <w:t>3. What We Know</w:t>
      </w:r>
    </w:p>
    <w:p>
      <w:pPr>
        <w:pStyle w:val="ListBullet"/>
      </w:pPr>
      <w:r>
        <w:t>Prospective client operates wage-and-hour practices across multiple physical sites, not a single facility or fleet.</w:t>
      </w:r>
    </w:p>
    <w:p>
      <w:pPr>
        <w:pStyle w:val="ListBullet"/>
      </w:pPr>
      <w:r>
        <w:t>Matter is at intake stage; no complaint has been filed and no collective or class has been certified or proposed.</w:t>
      </w:r>
    </w:p>
    <w:p>
      <w:pPr>
        <w:pStyle w:val="ListBullet"/>
      </w:pPr>
      <w:r>
        <w:t>No damages exposure has yet been modeled — that work should not begin until scope (site count, classification theory, limitations period) is confirmed with the client.</w:t>
      </w:r>
    </w:p>
    <w:p>
      <w:pPr>
        <w:pStyle w:val="Heading2"/>
      </w:pPr>
      <w:r>
        <w:t>4. Open Questions Before Scoping</w:t>
      </w:r>
    </w:p>
    <w:p>
      <w:pPr>
        <w:pStyle w:val="ListNumber"/>
      </w:pPr>
      <w:r>
        <w:t>Number and jurisdictional spread of sites at issue — this drives whether we are looking at a single-state matter or a multi-jurisdiction exposure with inconsistent wage-and-hour regimes.</w:t>
      </w:r>
    </w:p>
    <w:p>
      <w:pPr>
        <w:pStyle w:val="ListNumber"/>
      </w:pPr>
      <w:r>
        <w:t>Whether the client intends this as defense-side representation (responding to a threatened or filed action) or a proactive audit of exposure — the two call for materially different work product and different privilege postures for any resulting findings.</w:t>
      </w:r>
    </w:p>
    <w:p>
      <w:pPr>
        <w:pStyle w:val="ListNumber"/>
      </w:pPr>
      <w:r>
        <w:t>Classification theory at issue: off-the-clock work, meal/rest break compliance, overtime miscalculation, or independent contractor misclassification. Each carries a different limitations period and different discovery footprint.</w:t>
      </w:r>
    </w:p>
    <w:p>
      <w:pPr>
        <w:pStyle w:val="ListNumber"/>
      </w:pPr>
      <w:r>
        <w:t>Conflicts check against current and former clients at the site locations identified, before any further factual development.</w:t>
      </w:r>
    </w:p>
    <w:p>
      <w:pPr>
        <w:pStyle w:val="Heading2"/>
      </w:pPr>
      <w:r>
        <w:t>5. Recommendation</w:t>
      </w:r>
    </w:p>
    <w:p>
      <w:r>
        <w:t>Arguably the most useful next step is not legal analysis but disciplined scoping: confirm site count and jurisdictions, run conflicts, and get the client's own posture (defensive vs. proactive audit) in writing before assigning associate time. Absent that, we risk building a damages framework or discovery plan keyed to assumptions the client has not actually confirmed. I recommend a scoping call within the week and that no substantive drafting begin until the four items in Section 4 are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