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ASSET PURCHASE AGREEMENT</w:t>
      </w:r>
    </w:p>
    <w:p>
      <w:r>
        <w:t>by and among</w:t>
      </w:r>
    </w:p>
    <w:p>
      <w:r>
        <w:t>NORTHMOOR HOLDINGS, INC., as Buyer, SANDHURST PLATFORM SERVICES, LLC, as Seller, and, solely for purposes of Section 9 hereof, the Persons listed as Seller Owners on Schedule A</w:t>
      </w:r>
    </w:p>
    <w:p>
      <w:r>
        <w:t>[DRAFT — SUBJECT TO REVISION — ATTORNEY WORK PRODUCT — NOT FOR DISTRIBUTION]</w:t>
      </w:r>
    </w:p>
    <w:p>
      <w:pPr>
        <w:pStyle w:val="Heading2"/>
      </w:pPr>
      <w:r>
        <w:t>ARTICLE 4 — REPRESENTATIONS AND WARRANTIES OF SELLER</w:t>
      </w:r>
    </w:p>
    <w:p>
      <w:r>
        <w:t>Seller represents and warrants to Buyer as of the date hereof and as of the Closing Date as follows:</w:t>
      </w:r>
    </w:p>
    <w:p>
      <w:pPr>
        <w:pStyle w:val="Heading3"/>
      </w:pPr>
      <w:r>
        <w:t>Section 4.1 Organization and Good Standing</w:t>
      </w:r>
    </w:p>
    <w:p>
      <w:r>
        <w:t>Seller is a limited liability company duly organized, validly existing and in good standing under the laws of the State of Delaware, and has all requisite limited liability company power and authority to own, lease and operate its properties and to carry on its business as now conducted. Seller is duly qualified or licensed to do business and is in good standing in each jurisdiction in which the ownership of the Purchased Assets or the operation of the Business makes such qualification necessary, except where the failure to be so qualified or licensed would not reasonably be expected to have a Material Adverse Effect. [DRAFTING NOTE: The Secretary's Certificate item is now closed. The sole remaining open good-standing item on the closing checklist is the Delaware good standing certificate for Sandhurst Real Estate Holdco LLC (the Whitfield entity); this Section is to be revisited once that certificate is received and confirmed against the org chart.]</w:t>
      </w:r>
    </w:p>
    <w:p>
      <w:pPr>
        <w:pStyle w:val="Heading3"/>
      </w:pPr>
      <w:r>
        <w:t>Section 4.2 Authority; Enforceability</w:t>
      </w:r>
    </w:p>
    <w:p>
      <w:r>
        <w:t>Seller has all requisite power and authority to execute and deliver this Agreement and each Ancillary Document to which it is a party, to perform its obligations hereunder and thereunder, and to consummate the transactions contemplated hereby. The execution, delivery and performance of this Agreement and the Ancillary Documents by Seller, and the consummation of the transactions contemplated hereby, have been duly authorized by all necessary limited liability company action on the part of Seller. This Agreement has been duly executed and delivered by Seller and constitutes, and each Ancillary Document to which Seller is a party, when executed and delivered, will constitute, the valid and binding obligation of Seller, enforceable against Seller in accordance with its terms, subject to the Enforceability Exceptions.</w:t>
      </w:r>
    </w:p>
    <w:p>
      <w:pPr>
        <w:pStyle w:val="Heading3"/>
      </w:pPr>
      <w:r>
        <w:t>Section 4.3 No Conflicts; Consents</w:t>
      </w:r>
    </w:p>
    <w:p>
      <w:r>
        <w:t>Neither the execution and delivery of this Agreement by Seller nor the consummation of the transactions contemplated hereby will (a) violate or conflict with the organizational documents of Seller; (b) violate or conflict with any Law or Order applicable to Seller or the Purchased Assets; (c) result in any breach of, constitute a default under, or give rise to any right of termination, cancellation or acceleration under, any Material Contract to which Seller is a party; or (d) result in the creation of any Lien on any of the Purchased Assets, except in each case as would not reasonably be expected to have a Material Adverse Effect. Schedule 4.3 sets forth each consent, approval, waiver or notice required to be obtained from, or given to, any third party in connection with the execution, delivery and performance of this Agreement, including the estoppel certificates and consents identified with respect to the Real Property Leases. [DRAFTING NOTE: Schedule 4.3 to be trued up against the closing checklist once the Odell/Whitfield estoppel is resolved; as of this draft, the Odell/Whitfield estoppel remains open notwithstanding escalation to counsel, with no callback yet received, and the officer's certificate count is to be confirmed against Schedule A once finalized.]</w:t>
      </w:r>
    </w:p>
    <w:p>
      <w:pPr>
        <w:pStyle w:val="Heading3"/>
      </w:pPr>
      <w:r>
        <w:t>Section 4.4 Real Property</w:t>
      </w:r>
    </w:p>
    <w:p>
      <w:pPr>
        <w:pStyle w:val="ListBullet"/>
      </w:pPr>
      <w:r>
        <w:t>Schedule 4.4(a) sets forth a true, correct and complete list of all Real Property Leases, including the landlord, premises address, and expiration date for each.</w:t>
      </w:r>
    </w:p>
    <w:p>
      <w:pPr>
        <w:pStyle w:val="ListBullet"/>
      </w:pPr>
      <w:r>
        <w:t>Seller has not received any written notice of default under any Real Property Lease that remains uncured.</w:t>
      </w:r>
    </w:p>
    <w:p>
      <w:pPr>
        <w:pStyle w:val="ListBullet"/>
      </w:pPr>
      <w:r>
        <w:t>Seller has requested, and Schedule 4.4(b) identifies, estoppel certificates from each landlord under a Real Property Lease; as of the date of this Agreement, estoppel certificates remain outstanding from certain landlords, including Odell/Whitfield, and the Parties acknowledge that receipt of such certificates in form reasonably satisfactory to Buyer is a condition to Closing as set forth in Article 7.</w:t>
      </w:r>
    </w:p>
    <w:p>
      <w:pPr>
        <w:pStyle w:val="Heading2"/>
      </w:pPr>
      <w:r>
        <w:t>ARTICLE 5 — REPRESENTATIONS AND WARRANTIES OF BUYER</w:t>
      </w:r>
    </w:p>
    <w:p>
      <w:pPr>
        <w:pStyle w:val="Heading3"/>
      </w:pPr>
      <w:r>
        <w:t>Section 5.1 Organization and Good Standing</w:t>
      </w:r>
    </w:p>
    <w:p>
      <w:r>
        <w:t>Buyer is a corporation duly organized, validly existing and in good standing under the laws of the State of Delaware, and has all requisite corporate power and authority to own, lease and operate its properties, to carry on its business as now conducted, and to execute, deliver and perform this Agreement and each Ancillary Document to which it is a party.</w:t>
      </w:r>
    </w:p>
    <w:p>
      <w:pPr>
        <w:pStyle w:val="Heading3"/>
      </w:pPr>
      <w:r>
        <w:t>Section 5.2 Authority; Enforceability</w:t>
      </w:r>
    </w:p>
    <w:p>
      <w:r>
        <w:t>Buyer has all requisite corporate power and authority to execute and deliver this Agreement and each Ancillary Document to which it is a party, to perform its obligations hereunder and thereunder, and to consummate the transactions contemplated hereby. The execution, delivery and performance of this Agreement by Buyer, and the consummation of the transactions contemplated hereby, have been duly authorized by all necessary corporate action on the part of Buyer. This Agreement has been duly executed and delivered by Buyer and constitutes the valid and binding obligation of Buyer, enforceable against Buyer in accordance with its terms, subject to the Enforceability Exceptions.</w:t>
      </w:r>
    </w:p>
    <w:p>
      <w:pPr>
        <w:pStyle w:val="Heading3"/>
      </w:pPr>
      <w:r>
        <w:t>Section 5.3 Sufficiency of Funds</w:t>
      </w:r>
    </w:p>
    <w:p>
      <w:r>
        <w:t>Buyer will have available at the Closing sufficient immediately available funds to pay the Purchase Price and all fees and expenses of Buyer incurred in connection with the transactions contemplated by this Agreement.</w:t>
      </w:r>
    </w:p>
    <w:p>
      <w:pPr>
        <w:pStyle w:val="Heading2"/>
      </w:pPr>
      <w:r>
        <w:t>ARTICLE 6 — COVENANTS</w:t>
      </w:r>
    </w:p>
    <w:p>
      <w:pPr>
        <w:pStyle w:val="Heading3"/>
      </w:pPr>
      <w:r>
        <w:t>Section 6.1 Conduct of Business Prior to Closing</w:t>
      </w:r>
    </w:p>
    <w:p>
      <w:r>
        <w:t>From the date hereof until the Closing, except as expressly contemplated by this Agreement, as required by applicable Law, or as consented to in writing by Buyer (such consent not to be unreasonably withheld, conditioned or delayed), Seller shall, and shall cause the Business to, be conducted in the ordinary course of business consistent with past practice and use commercially reasonable efforts to preserve intact its business organization, retain the services of its key employees, and preserve its relationships with landlords, customers, suppliers and others having business dealings with it, including using commercially reasonable efforts to obtain the outstanding estoppel certificates and consents described in Schedule 4.3.</w:t>
      </w:r>
    </w:p>
    <w:p>
      <w:pPr>
        <w:pStyle w:val="Heading3"/>
      </w:pPr>
      <w:r>
        <w:t>Section 6.2 Efforts to Obtain Consents; Estoppels</w:t>
      </w:r>
    </w:p>
    <w:p>
      <w:r>
        <w:t>Each Party shall use commercially reasonable efforts to obtain, as promptly as practicable following the date hereof, all estoppel certificates, consents and waivers listed on Schedule 4.3, including cooperating with the other Party's outreach to landlords and other third parties. Seller shall keep Buyer reasonably informed of the status of such efforts, including the status of the estoppel certificate from Odell/Whitfield, and shall promptly notify Buyer upon receipt of any such certificate, consent or waiver. [DRAFTING NOTE: As of this draft, the Odell/Whitfield estoppel remains the team's principal open item, with no callback received notwithstanding escalation to counsel and continued outreach; this Section is to be revisited upon resolution.]</w:t>
      </w:r>
    </w:p>
    <w:p>
      <w:pPr>
        <w:pStyle w:val="Heading2"/>
      </w:pPr>
      <w:r>
        <w:t>ARTICLE 7 — CONDITIONS TO CLOSING</w:t>
      </w:r>
    </w:p>
    <w:p>
      <w:pPr>
        <w:pStyle w:val="Heading3"/>
      </w:pPr>
      <w:r>
        <w:t>Section 7.1 Conditions to Obligations of Buyer</w:t>
      </w:r>
    </w:p>
    <w:p>
      <w:r>
        <w:t>The obligation of Buyer to consummate the transactions contemplated by this Agreement is subject to the satisfaction (or waiver by Buyer), at or prior to the Closing, of each of the following conditions:</w:t>
      </w:r>
    </w:p>
    <w:p>
      <w:pPr>
        <w:pStyle w:val="ListBullet"/>
      </w:pPr>
      <w:r>
        <w:t>The representations and warranties of Seller set forth in Article 4 shall be true and correct in all material respects as of the Closing Date as though made on and as of the Closing Date.</w:t>
      </w:r>
    </w:p>
    <w:p>
      <w:pPr>
        <w:pStyle w:val="ListBullet"/>
      </w:pPr>
      <w:r>
        <w:t>Seller shall have delivered to Buyer a good standing certificate for Seller from the Secretary of State of Delaware, dated no earlier than [***] days prior to the Closing Date.</w:t>
      </w:r>
    </w:p>
    <w:p>
      <w:pPr>
        <w:pStyle w:val="ListBullet"/>
      </w:pPr>
      <w:r>
        <w:t>Seller shall have delivered to Buyer executed estoppel certificates from each landlord identified on Schedule 4.4(b), in form and substance reasonably satisfactory to Buyer, including from Odell/Whitfield.</w:t>
      </w:r>
    </w:p>
    <w:p>
      <w:pPr>
        <w:pStyle w:val="ListBullet"/>
      </w:pPr>
      <w:r>
        <w:t>Seller shall have delivered to Buyer a certificate of an authorized officer of Seller certifying as to the resolutions of Seller's governing body authorizing this Agreement and the transactions contemplated hereby.</w:t>
      </w:r>
    </w:p>
    <w:p>
      <w:pPr>
        <w:pStyle w:val="ListBullet"/>
      </w:pPr>
      <w:r>
        <w:t>All Liens on the Purchased Assets shall have been released, and Seller shall have delivered payoff letters and lien releases reasonably satisfactory to Buyer with respect to each such Lien.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