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ARTICLE 5 — REPRESENTATIONS AND WARRANTIES OF SELLER</w:t>
      </w:r>
    </w:p>
    <w:p>
      <w:r>
        <w:t>Seller represents and warrants to Buyer as of the date hereof and as of the Closing Date as follows:</w:t>
      </w:r>
    </w:p>
    <w:p>
      <w:pPr>
        <w:pStyle w:val="Heading2"/>
      </w:pPr>
      <w:r>
        <w:t>5.1 Organization and Good Standing</w:t>
      </w:r>
    </w:p>
    <w:p>
      <w:r>
        <w:t>Seller is a corporation duly organized, validly existing and in good standing under the laws of its jurisdiction of organization, and has all requisite corporate power and authority to own, lease and operate its properties and to carry on the Business as presently conducted. Seller is duly qualified or licensed to do business and is in good standing in each jurisdiction in which the ownership or operation of the Purchased Assets or the conduct of the Business makes such qualification necessary, except where the failure to be so qualified or licensed would not reasonably be expected to have a Material Adverse Effect. Seller has made available to Buyer true, correct and complete copies of its certificate of incorporation, bylaws and other organizational documents, each as amended to date.</w:t>
      </w:r>
    </w:p>
    <w:p>
      <w:r>
        <w:t>[Drafting note: Section 5.1 good-standing certificate to be delivered pursuant to Section 8.2(d) remains pending as to the Pennsylvania entity per current closing checklist status; confirm final entity list with Diligence team before circulating externally.]</w:t>
      </w:r>
    </w:p>
    <w:p>
      <w:pPr>
        <w:pStyle w:val="Heading2"/>
      </w:pPr>
      <w:r>
        <w:t>5.2 Authority; Enforceability</w:t>
      </w:r>
    </w:p>
    <w:p>
      <w:r>
        <w:t>Seller has all requisite corporate power and authority to execute and deliver this Agreement and each Ancillary Document to which it is a party, to perform its obligations hereunder and thereunder, and to consummate the transactions contemplated hereby. The execution, delivery and performance of this Agreement and the Ancillary Documents by Seller, and the consummation of the transactions contemplated hereby, have been duly authorized by all necessary corporate action on the part of Seller, including all necessary approvals of Seller's board of directors and, to the extent required, its stockholders. This Agreement has been duly executed and delivered by Seller and constitutes, and each Ancillary Document to be executed and delivered by Seller will, when executed and delivered, constitute, the legal, valid and binding obligation of Seller, enforceable against Seller in accordance with its terms, subject to the Enforceability Exceptions.</w:t>
      </w:r>
    </w:p>
    <w:p>
      <w:pPr>
        <w:pStyle w:val="Heading2"/>
      </w:pPr>
      <w:r>
        <w:t>5.3 No Conflicts; Consents</w:t>
      </w:r>
    </w:p>
    <w:p>
      <w:r>
        <w:t>Except as set forth on Schedule 5.3, neither the execution and delivery of this Agreement or any Ancillary Document by Seller, nor the consummation of the transactions contemplated hereby, will (a) violate or conflict with the certificate of incorporation, bylaws or other organizational documents of Seller; (b) violate any Law or Order applicable to Seller or the Purchased Assets; (c) require any consent, approval, authorization or other action by, or filing with or notification to, any Governmental Authority or other Person, including any counterparty under a Material Contract, except for those consents, approvals, authorizations, filings or notifications set forth on Schedule 5.3 (including, without limitation, the landlord estoppel certificates identified therein); or (d) result in the creation of any Lien on the Purchased Assets.</w:t>
      </w:r>
    </w:p>
    <w:p>
      <w:r>
        <w:t>[Drafting note: Schedule 5.3 to cross-reference the estoppel certificates tracked on the Sandhurst Platform Acquisition Estoppel Certificate Tracker. As of the current status, 2 of 3 estoppels remain outstanding pending landlord response (Odell/Whitfield location split unresolved); Schedule to be finalized once responses are received and confirmed against the closing checklist.]</w:t>
      </w:r>
    </w:p>
    <w:p>
      <w:pPr>
        <w:pStyle w:val="Heading2"/>
      </w:pPr>
      <w:r>
        <w:t>5.4 Title to Purchased Assets</w:t>
      </w:r>
    </w:p>
    <w:p>
      <w:r>
        <w:t>Seller has good and valid title to, or a valid leasehold interest in, all of the Purchased Assets, free and clear of all Liens other than Permitted Liens. Upon consummation of the transactions contemplated hereby, Buyer will acquire good and valid title to, or a valid leasehold interest in, the Purchased Assets, free and clear of all Liens other than Permitted Liens.</w:t>
      </w:r>
    </w:p>
    <w:p>
      <w:r>
        <w:t>[Drafting note: subject to confirmation of final lien search and payoff letter status currently being tracked on the closing checklist; Section 5.4 exceptions schedule to be trued up against that status before the next full-draft circulation.]</w:t>
      </w:r>
    </w:p>
    <w:p>
      <w:pPr>
        <w:pStyle w:val="Heading2"/>
      </w:pPr>
      <w:r>
        <w:t>5.5 Real Property; Leases</w:t>
      </w:r>
    </w:p>
    <w:p>
      <w:r>
        <w:t>Schedule 5.5 sets forth a true, correct and complete list of all real property leases, subleases, licenses and occupancy agreements to which Seller is a party (each, a "Lease") and used in or necessary for the conduct of the Business, including the street address of each leased property. Seller has made available to Buyer true, correct and complete copies of each Lease, together with all amendments, modifications and supplements thereto. Each Lease is in full force and effect and is a legal, valid and binding obligation of Seller and, to Seller's Knowledge, the applicable landlord, enforceable against each such party in accordance with its terms, subject to the Enforceability Exceptions. Seller is not, and to Seller's Knowledge no landlord is, in breach or default under any Lease, and no event has occurred that, with notice or lapse of time, would constitute such a breach or default.</w:t>
      </w:r>
    </w:p>
    <w:p>
      <w:r>
        <w:t>[Drafting note: this section is being drafted against the current estoppel status — as of the latest team check-in, 2 of the 3 required landlord estoppel certificates remain open, with the Odell/Whitfield location still unresolved as to which landlord holds the applicable lease. Section 5.5 and the related Schedule, as well as the estoppel delivery condition in Section 8.2, should not be treated as final until that split is resolved. Will circulate a redline once Quentin confirms the escalation outcome.]</w:t>
      </w:r>
    </w:p>
    <w:p>
      <w:pPr>
        <w:pStyle w:val="Heading1"/>
      </w:pPr>
      <w:r>
        <w:t>ARTICLE 6 — REPRESENTATIONS AND WARRANTIES OF BUYER</w:t>
      </w:r>
    </w:p>
    <w:p>
      <w:r>
        <w:t>[Placeholder — to follow in next drafting session per the afternoon plan block. Buyer's rep team to confirm no changes to standard Buyer reps other than financing condition language.]</w:t>
      </w:r>
    </w:p>
    <w:p>
      <w:pPr>
        <w:pStyle w:val="Heading1"/>
      </w:pPr>
      <w:r>
        <w:t>Open Items Carried Into Next Draft</w:t>
      </w:r>
    </w:p>
    <w:p>
      <w:pPr>
        <w:pStyle w:val="ListNumber"/>
      </w:pPr>
      <w:r>
        <w:t>Resolve Odell/Whitfield landlord split and confirm which entity is party to the applicable Lease for purposes of Schedule 5.5 and the estoppel condition in Section 8.2.</w:t>
      </w:r>
    </w:p>
    <w:p>
      <w:pPr>
        <w:pStyle w:val="ListNumber"/>
      </w:pPr>
      <w:r>
        <w:t>True up Schedule 5.3 (consents) and Schedule 5.5 (leases) against the current closing checklist estoppel status (2 of 3 open).</w:t>
      </w:r>
    </w:p>
    <w:p>
      <w:pPr>
        <w:pStyle w:val="ListNumber"/>
      </w:pPr>
      <w:r>
        <w:t>Confirm Pennsylvania entity good standing certificate status before finalizing Section 5.1 delivery schedule.</w:t>
      </w:r>
    </w:p>
    <w:p>
      <w:pPr>
        <w:pStyle w:val="ListNumber"/>
      </w:pPr>
      <w:r>
        <w:t>Incorporate final lien search/payoff confirmation into Section 5.4 exceptions.</w:t>
      </w:r>
    </w:p>
    <w:p>
      <w:pPr>
        <w:pStyle w:val="ListNumber"/>
      </w:pPr>
      <w:r>
        <w:t>Draft Article 6 (Buyer reps) in next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