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Asset Purchase Agreement — First Draft</w:t>
      </w:r>
    </w:p>
    <w:p>
      <w:r>
        <w:t>Sandhurst Platform Acquisition. Articles 4 through 7. Prepared by M. Chandrasekhar per Dov's workstream assignment. This draft is circulated for internal review only and is not to be shared outside the deal team. [DRAFT — bracketed items below reflect open points still being trued up with Samir and Quentin.]</w:t>
      </w:r>
    </w:p>
    <w:p>
      <w:pPr>
        <w:pStyle w:val="Heading1"/>
      </w:pPr>
      <w:r>
        <w:t>Article 4 — Representations and Warranties of Seller</w:t>
      </w:r>
    </w:p>
    <w:p>
      <w:pPr>
        <w:pStyle w:val="Heading2"/>
      </w:pPr>
      <w:r>
        <w:t>4.1 Organization and Good Standing</w:t>
      </w:r>
    </w:p>
    <w:p>
      <w:r>
        <w:t>Seller is a corporation duly organized, validly existing, and in good standing under the laws of the State of Delaware, with full corporate power and authority to own, lease, and operate its assets and to carry on its business as presently conducted. [RESOLVED: Delaware good standing certificate is in hand; all 12 of 12 corporate diligence entities/items are now closed out. Checklist updated accordingly.]</w:t>
      </w:r>
    </w:p>
    <w:p>
      <w:pPr>
        <w:pStyle w:val="Heading2"/>
      </w:pPr>
      <w:r>
        <w:t>4.2 Authority; Enforceability</w:t>
      </w:r>
    </w:p>
    <w:p>
      <w:r>
        <w:t>Seller has full power and authority to execute and deliver this Agreement and each Ancillary Document to which it is a party, and to consummate the transactions contemplated hereby. The execution, delivery, and performance of this Agreement have been duly authorized by all necessary corporate action on the part of Seller. [RESOLVED: signer for the Secretary's Certificate confirmed with Quentin, consistent with the now-closed good standing certificate workstream.]</w:t>
      </w:r>
    </w:p>
    <w:p>
      <w:pPr>
        <w:pStyle w:val="Heading2"/>
      </w:pPr>
      <w:r>
        <w:t>4.3 No Conflicts; Consents</w:t>
      </w:r>
    </w:p>
    <w:p>
      <w:r>
        <w:t>Neither the execution and delivery of this Agreement by Seller nor the consummation of the transactions contemplated hereby will (a) violate any provision of Seller's organizational documents, (b) conflict with or result in a breach of any material contract to which Seller is a party, or (c) violate any applicable law or order. [OPEN: cross-check against tenant estoppel certificates below — leasehold consents may implicate this section, pending resolution of the outstanding Odell/Whitfield estoppel.]</w:t>
      </w:r>
    </w:p>
    <w:p>
      <w:pPr>
        <w:pStyle w:val="Heading2"/>
      </w:pPr>
      <w:r>
        <w:t>4.4 Real Property; Tenant Estoppels</w:t>
      </w:r>
    </w:p>
    <w:p>
      <w:r>
        <w:t>Schedule 4.4 sets forth each leased real property material to the Business. Seller has requested tenant estoppel certificates from each tenant identified thereon. [OPEN: tracker stands at 2 of 3 estoppels outstanding. The Odell/Whitfield estoppel certificate remains the sole open item blocking signature; ownership of the outreach has moved to Quentin, and the matter has been escalated to Whitfield's counsel given the deadline-letter clock. Section to be finalized once the estoppel is in hand or a closing condition/holdback is negotiated in lieu thereof.]</w:t>
      </w:r>
    </w:p>
    <w:p>
      <w:pPr>
        <w:pStyle w:val="Heading1"/>
      </w:pPr>
      <w:r>
        <w:t>Article 5 — Representations and Warranties of Buyer</w:t>
      </w:r>
    </w:p>
    <w:p>
      <w:pPr>
        <w:pStyle w:val="Heading2"/>
      </w:pPr>
      <w:r>
        <w:t>5.1 Organization and Authority</w:t>
      </w:r>
    </w:p>
    <w:p>
      <w:r>
        <w:t>Buyer is a corporation duly organized, validly existing, and in good standing under the laws of its jurisdiction of incorporation, with full power and authority to execute and deliver this Agreement and to perform its obligations hereunder. [No open items — placeholder rep, confirm against Buyer's standard form.]</w:t>
      </w:r>
    </w:p>
    <w:p>
      <w:pPr>
        <w:pStyle w:val="Heading2"/>
      </w:pPr>
      <w:r>
        <w:t>5.2 Financing</w:t>
      </w:r>
    </w:p>
    <w:p>
      <w:r>
        <w:t>Buyer has, or will have at Closing, sufficient funds available to pay the Purchase Price and to satisfy all other obligations of Buyer under this Agreement. [Placeholder — confirm whether a financing condition applies to this transaction.]</w:t>
      </w:r>
    </w:p>
    <w:p>
      <w:pPr>
        <w:pStyle w:val="Heading1"/>
      </w:pPr>
      <w:r>
        <w:t>Article 6 — Covenants</w:t>
      </w:r>
    </w:p>
    <w:p>
      <w:pPr>
        <w:pStyle w:val="Heading2"/>
      </w:pPr>
      <w:r>
        <w:t>6.1 Conduct of Business Prior to Closing</w:t>
      </w:r>
    </w:p>
    <w:p>
      <w:r>
        <w:t>From the date hereof until the Closing, Seller shall conduct the Business in the ordinary course consistent with past practice and shall use commercially reasonable efforts to preserve intact its business organization, assets, and relationships with customers, suppliers, and employees.</w:t>
      </w:r>
    </w:p>
    <w:p>
      <w:pPr>
        <w:pStyle w:val="Heading2"/>
      </w:pPr>
      <w:r>
        <w:t>6.2 Efforts to Satisfy Closing Conditions</w:t>
      </w:r>
    </w:p>
    <w:p>
      <w:r>
        <w:t>Each party shall use commercially reasonable efforts to satisfy the conditions to Closing applicable to it, including Seller's delivery of (a) the Delaware good standing certificate referenced in Section 4.1, (b) the Secretary's Certificate referenced in Section 4.2, and (c) the tenant estoppel certificates referenced in Section 4.4. [OPEN: good standing certificate and Secretary's Certificate under (a) and (b) are now resolved; only the tenant estoppel certificate under (c) — specifically the outstanding Odell/Whitfield estoppel, now owned by Quentin — remains to be tracked here.]</w:t>
      </w:r>
    </w:p>
    <w:p>
      <w:pPr>
        <w:pStyle w:val="Heading2"/>
      </w:pPr>
      <w:r>
        <w:t>6.3 Notification of Certain Matters</w:t>
      </w:r>
    </w:p>
    <w:p>
      <w:r>
        <w:t>Each party shall promptly notify the other of any fact, event, or circumstance that would reasonably be expected to cause any condition to Closing not to be satisfied.</w:t>
      </w:r>
    </w:p>
    <w:p>
      <w:pPr>
        <w:pStyle w:val="Heading1"/>
      </w:pPr>
      <w:r>
        <w:t>Article 7 — Conditions to Closing</w:t>
      </w:r>
    </w:p>
    <w:p>
      <w:pPr>
        <w:pStyle w:val="Heading2"/>
      </w:pPr>
      <w:r>
        <w:t>7.1 Conditions to Obligations of Buyer</w:t>
      </w:r>
    </w:p>
    <w:p>
      <w:r>
        <w:t>The obligations of Buyer to consummate the transactions contemplated hereby are subject to the satisfaction, at or prior to Closing, of each of the following conditions: (a) the representations and warranties of Seller set forth in Article 4 shall be true and correct in all material respects as of the Closing Date; (b) Seller shall have delivered the Delaware good standing certificate and the Secretary's Certificate contemplated by Sections 4.1 and 4.2; and (c) Seller shall have delivered [all / substantially all — OPEN, pending resolution of the outstanding Odell/Whitfield estoppel, now escalated to Whitfield's counsel] of the tenant estoppel certificates contemplated by Section 4.4.</w:t>
      </w:r>
    </w:p>
    <w:p>
      <w:r>
        <w:t>[DRAFTING NOTE: bracket in 7.1(c) needs to be resolved with Dov and Samir — if the Odell/Whitfield estoppel is not obtained before signing, consider whether to (i) make it a post-closing covenant with an indemnity holdback, or (ii) retain as a hard condition and extend the outside date. The matter is currently owned by Quentin and has been escalated to Whitfield's counsel; awaiting a concrete ETA on their response. Flagging for team discussion; not yet reflected in the closing checklist.]</w:t>
      </w:r>
    </w:p>
    <w:p>
      <w:pPr>
        <w:pStyle w:val="Heading2"/>
      </w:pPr>
      <w:r>
        <w:t>7.2 Conditions to Obligations of Seller</w:t>
      </w:r>
    </w:p>
    <w:p>
      <w:r>
        <w:t>The obligations of Seller to consummate the transactions contemplated hereby are subject to the satisfaction, at or prior to Closing, of the condition that the representations and warranties of Buyer set forth in Article 5 shall be true and correct in all material respects as of the Closing Date, and that Buyer shall have delivered the Purchase Price in accordance with Article 2.</w:t>
      </w:r>
    </w:p>
    <w:p>
      <w:r>
        <w:t>[STATUS NOTE: Articles 4–7 above reflect the current state of open diligence items as reconciled between Mira's tracker and Samir's checklist — Delaware good standing is now fully closed (12 of 12 certificates in hand; checklist updated) and the Secretary's Certificate signer is confirmed. The sole remaining open item blocking signature is the Odell/Whitfield tenant estoppel certificate, now owned by Quentin and escalated to Whitfield's counsel given the deadline-letter clock; Mira is not directly chasing this item. Will recirculate once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