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Partner Matter Review / Client Board and Committee Update — Outline (Final for Circulation)</w:t>
      </w:r>
    </w:p>
    <w:p>
      <w:r>
        <w:t>Prepared by Gideon Park, Partner, IP &amp; Technology Transactions. This outline consolidates the open workstreams across Sandhurst, Fairmont, Teodor's Series C disclosure schedule, and the Pellumbra cross-border clinical data assessment for the upcoming committee update. It is organized by matter, with status, open items, and owners noted for each so the committee can see where partner attention is required versus where items are closing out. This version reconciles and supersedes the prior working draft; it is final for circulation ahead of Thursday's committee meeting.</w:t>
      </w:r>
    </w:p>
    <w:p>
      <w:pPr>
        <w:pStyle w:val="Heading2"/>
      </w:pPr>
      <w:r>
        <w:t>1. Sandhurst — Closing Checklist and Entity Chart</w:t>
      </w:r>
    </w:p>
    <w:p>
      <w:r>
        <w:t>Reviewed as reviewer of record against Samir Bhatt's closing checklist and entity chart. Overall assessment: not fully closed. Recommendation communicated to Klara is to hold off closing until the items below clear.</w:t>
      </w:r>
    </w:p>
    <w:p>
      <w:pPr>
        <w:pStyle w:val="ListNumber"/>
      </w:pPr>
      <w:r>
        <w:t>Good Standing Certificates: checklist states 11 of 12 back, but the entity chart shows Sandhurst Add-On 2, LLC has NOT received good standing. This should be verified against that gap before describing the item as near-complete.</w:t>
      </w:r>
    </w:p>
    <w:p>
      <w:pPr>
        <w:pStyle w:val="ListNumber"/>
      </w:pPr>
      <w:r>
        <w:t>Closing Set readiness (item 16): note overstated progress ('nearly all items now in or complete'); four items remain outstanding/in progress, including two fully outstanding non-diligence items (9 and 10). Language has been softened to reflect actual gating status.</w:t>
      </w:r>
    </w:p>
    <w:p>
      <w:pPr>
        <w:pStyle w:val="ListNumber"/>
      </w:pPr>
      <w:r>
        <w:t>Officer's Certificates (3 of 4): open question on which of the six entities in the entity chart is missing a certificate; this affects closing readiness and needs an answer before sign-off.</w:t>
      </w:r>
    </w:p>
    <w:p>
      <w:pPr>
        <w:pStyle w:val="ListNumber"/>
      </w:pPr>
      <w:r>
        <w:t>Consents — landlord estoppels (1 of 3): flagged as a substantive open item rather than a process note, since estoppels are often closing conditions.</w:t>
      </w:r>
    </w:p>
    <w:p>
      <w:pPr>
        <w:pStyle w:val="ListNumber"/>
      </w:pPr>
      <w:r>
        <w:t>Items 1-5, 8, 11, 12, 15: signed off as complete, with adequate documentary support (execution, filing, or confirmation evidenced).</w:t>
      </w:r>
    </w:p>
    <w:p>
      <w:r>
        <w:t>Owner: Samir Bhatt (checklist), Gideon Park (review notes). Klara has been advised directly of the three gating items above and the recommendation to hold closing.</w:t>
      </w:r>
    </w:p>
    <w:p>
      <w:pPr>
        <w:pStyle w:val="Heading2"/>
      </w:pPr>
      <w:r>
        <w:t>2. Fairmont OEM License — Section 2 IP Ownership</w:t>
      </w:r>
    </w:p>
    <w:p>
      <w:r>
        <w:t>Klara's flagged ownership-split issue is resolved in the current draft. Section 2.4 grant-back language, together with the surrounding 2.1-2.5 structure, is fully drafted and appears consistent with the 2.3 grant language. Oskar has been sent the verbatim Section 2.4 text and invited to confirm his read of the 2.3/2.4 consistency.</w:t>
      </w:r>
    </w:p>
    <w:p>
      <w:pPr>
        <w:pStyle w:val="ListBullet"/>
      </w:pPr>
      <w:r>
        <w:t>Status: substantively complete; no gaps found against the original intent.</w:t>
      </w:r>
    </w:p>
    <w:p>
      <w:pPr>
        <w:pStyle w:val="ListBullet"/>
      </w:pPr>
      <w:r>
        <w:t>Action taken: light clarifying addition to the 2.4 commentary tying it explicitly to Klara's original ownership-split issue.</w:t>
      </w:r>
    </w:p>
    <w:p>
      <w:pPr>
        <w:pStyle w:val="ListBullet"/>
      </w:pPr>
      <w:r>
        <w:t>Documentation: Memo to File — Fairmont OEM License: Section 2.4/2.3 Grant Language Review and Ownership-Split Closeout.</w:t>
      </w:r>
    </w:p>
    <w:p>
      <w:pPr>
        <w:pStyle w:val="ListBullet"/>
      </w:pPr>
      <w:r>
        <w:t>Open item: awaiting Oskar's confirmation on 2.3/2.4 consistency; Section 2 questions currently being drafted.</w:t>
      </w:r>
    </w:p>
    <w:p>
      <w:pPr>
        <w:pStyle w:val="Heading2"/>
      </w:pPr>
      <w:r>
        <w:t>3. Pellumbra — Series C Disclosure Schedule and Cross-Border Clinical Data Assessment</w:t>
      </w:r>
    </w:p>
    <w:p>
      <w:r>
        <w:t>Two linked workstreams: (a) how to disclose the collaboration agreement and IP ownership split in Section 3.2 of the disclosure schedule, and (b) the cross-border clinical data/privacy assessment that informs the accuracy of that disclosure.</w:t>
      </w:r>
    </w:p>
    <w:p>
      <w:pPr>
        <w:pStyle w:val="Heading3"/>
      </w:pPr>
      <w:r>
        <w:t>3a. Disclosure Schedule — Section 3.2</w:t>
      </w:r>
    </w:p>
    <w:p>
      <w:pPr>
        <w:pStyle w:val="ListBullet"/>
      </w:pPr>
      <w:r>
        <w:t>Initial advice to Teodor: list the collaboration agreement once in Section 3.2, with descriptive text covering both license-in and license-out grants and the milestone-based IP assignment, rather than a separate line item; disclose cross-border clinical data/privacy terms separately under a data processing or regulatory compliance heading.</w:t>
      </w:r>
    </w:p>
    <w:p>
      <w:pPr>
        <w:pStyle w:val="ListBullet"/>
      </w:pPr>
      <w:r>
        <w:t>Revised position: fold the IP ownership split into the existing 3.2 collaboration agreement entry as descriptive text (no separate line item, no separate exhibit), framed factually rather than as an open negotiation, to avoid inviting investor scrutiny.</w:t>
      </w:r>
    </w:p>
    <w:p>
      <w:pPr>
        <w:pStyle w:val="ListBullet"/>
      </w:pPr>
      <w:r>
        <w:t>Confirmed approach (per Thursday's call, Elena Vasquez-Reyes's recommendation, and Gideon's follow-up email confirming concurrence): a separate line item cross-referenced to 3.2, rather than folded in. This resolves the versioning question raised internally about which draft governs — this outline reflects the reconciled, controlling position.</w:t>
      </w:r>
    </w:p>
    <w:p>
      <w:pPr>
        <w:pStyle w:val="ListBullet"/>
      </w:pPr>
      <w:r>
        <w:t>Bennett Ashworth flagged that reconciliation of the cross-referenced approach against the clinical data disclosure was still open; Cecile Marchand concurred with the flag. That reconciliation is addressed below and will close out once Q2/Q3 are resolved.</w:t>
      </w:r>
    </w:p>
    <w:p>
      <w:pPr>
        <w:pStyle w:val="ListBullet"/>
      </w:pPr>
      <w:r>
        <w:t>Deliverable: Section 3.2 language to be turned same day following Thursday's 9:30 call, coordinated with Elena so the two disclosure entries (IP ownership and clinical data privacy) remain internally consistent.</w:t>
      </w:r>
    </w:p>
    <w:p>
      <w:pPr>
        <w:pStyle w:val="Heading3"/>
      </w:pPr>
      <w:r>
        <w:t>3b. Cross-Border Clinical Data Assessment</w:t>
      </w:r>
    </w:p>
    <w:tbl>
      <w:tblPr>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Topic</w:t>
            </w:r>
          </w:p>
        </w:tc>
        <w:tc>
          <w:tcPr>
            <w:tcW w:type="dxa" w:w="2880"/>
          </w:tcPr>
          <w:p>
            <w:r>
              <w:t>Status</w:t>
            </w:r>
          </w:p>
        </w:tc>
      </w:tr>
      <w:tr>
        <w:tc>
          <w:tcPr>
            <w:tcW w:type="dxa" w:w="2880"/>
          </w:tcPr>
          <w:p>
            <w:r>
              <w:t>Q1</w:t>
            </w:r>
          </w:p>
        </w:tc>
        <w:tc>
          <w:tcPr>
            <w:tcW w:type="dxa" w:w="2880"/>
          </w:tcPr>
          <w:p>
            <w:r>
              <w:t>Transfer basis</w:t>
            </w:r>
          </w:p>
        </w:tc>
        <w:tc>
          <w:tcPr>
            <w:tcW w:type="dxa" w:w="2880"/>
          </w:tcPr>
          <w:p>
            <w:r>
              <w:t>Preliminary answer drafted and sent to Teodor</w:t>
            </w:r>
          </w:p>
        </w:tc>
      </w:tr>
      <w:tr>
        <w:tc>
          <w:tcPr>
            <w:tcW w:type="dxa" w:w="2880"/>
          </w:tcPr>
          <w:p>
            <w:r>
              <w:t>Q2</w:t>
            </w:r>
          </w:p>
        </w:tc>
        <w:tc>
          <w:tcPr>
            <w:tcW w:type="dxa" w:w="2880"/>
          </w:tcPr>
          <w:p>
            <w:r>
              <w:t>DPA matching</w:t>
            </w:r>
          </w:p>
        </w:tc>
        <w:tc>
          <w:tcPr>
            <w:tcW w:type="dxa" w:w="2880"/>
          </w:tcPr>
          <w:p>
            <w:r>
              <w:t>Outstanding — pending review of underlying agreements</w:t>
            </w:r>
          </w:p>
        </w:tc>
      </w:tr>
      <w:tr>
        <w:tc>
          <w:tcPr>
            <w:tcW w:type="dxa" w:w="2880"/>
          </w:tcPr>
          <w:p>
            <w:r>
              <w:t>Q3</w:t>
            </w:r>
          </w:p>
        </w:tc>
        <w:tc>
          <w:tcPr>
            <w:tcW w:type="dxa" w:w="2880"/>
          </w:tcPr>
          <w:p>
            <w:r>
              <w:t>Localization restrictions</w:t>
            </w:r>
          </w:p>
        </w:tc>
        <w:tc>
          <w:tcPr>
            <w:tcW w:type="dxa" w:w="2880"/>
          </w:tcPr>
          <w:p>
            <w:r>
              <w:t>Outstanding — pending review of underlying agreements</w:t>
            </w:r>
          </w:p>
        </w:tc>
      </w:tr>
      <w:tr>
        <w:tc>
          <w:tcPr>
            <w:tcW w:type="dxa" w:w="2880"/>
          </w:tcPr>
          <w:p>
            <w:r>
              <w:t>Q4</w:t>
            </w:r>
          </w:p>
        </w:tc>
        <w:tc>
          <w:tcPr>
            <w:tcW w:type="dxa" w:w="2880"/>
          </w:tcPr>
          <w:p>
            <w:r>
              <w:t>Privacy notice consistency</w:t>
            </w:r>
          </w:p>
        </w:tc>
        <w:tc>
          <w:tcPr>
            <w:tcW w:type="dxa" w:w="2880"/>
          </w:tcPr>
          <w:p>
            <w:r>
              <w:t>Preliminary answer drafted and sent to Teodor</w:t>
            </w:r>
          </w:p>
        </w:tc>
      </w:tr>
    </w:tbl>
    <w:p>
      <w:pPr>
        <w:pStyle w:val="ListBullet"/>
      </w:pPr>
      <w:r>
        <w:t>Working draft sent to Teodor covering preliminary Q1 and Q4 answers.</w:t>
      </w:r>
    </w:p>
    <w:p>
      <w:pPr>
        <w:pStyle w:val="ListBullet"/>
      </w:pPr>
      <w:r>
        <w:t>Q2/Q3 remain pending on review of underlying agreements; call offered to walk the schedule line by line. This is now the sole remaining gate before the 3.2 cross-reference language and the clinical data disclosure entry can both be finalized.</w:t>
      </w:r>
    </w:p>
    <w:p>
      <w:pPr>
        <w:pStyle w:val="ListBullet"/>
      </w:pPr>
      <w:r>
        <w:t>Commitment: reconcile Thursday's committee discussion against this assessment once Q2/Q3 are resolved, and cross-check the finalized clinical data disclosure entry against the 3.2 IP ownership language for consistency — this directly closes the reconciliation point raised by Bennett Ashworth and Cecile Marchand.</w:t>
      </w:r>
    </w:p>
    <w:p>
      <w:pPr>
        <w:pStyle w:val="Heading2"/>
      </w:pPr>
      <w:r>
        <w:t>4. Pellumbra — Related Memo</w:t>
      </w:r>
    </w:p>
    <w:p>
      <w:r>
        <w:t>Memo on file: Pellumbra Series C Disclosure Schedule — IP License Gap Memo, capturing the analysis underlying the Section 3.2 recommendation above.</w:t>
      </w:r>
    </w:p>
    <w:p>
      <w:pPr>
        <w:pStyle w:val="Heading2"/>
      </w:pPr>
      <w:r>
        <w:t>5. Committee Update Talking Points</w:t>
      </w:r>
    </w:p>
    <w:p>
      <w:pPr>
        <w:pStyle w:val="ListNumber"/>
      </w:pPr>
      <w:r>
        <w:t>Sandhurst closing is not yet clear to proceed; three gating items (good standing, officer's certificates, landlord estoppels) require resolution before closing.</w:t>
      </w:r>
    </w:p>
    <w:p>
      <w:pPr>
        <w:pStyle w:val="ListNumber"/>
      </w:pPr>
      <w:r>
        <w:t>Fairmont Section 2 IP ownership issue is substantively resolved; final confirmation from Oskar pending.</w:t>
      </w:r>
    </w:p>
    <w:p>
      <w:pPr>
        <w:pStyle w:val="ListNumber"/>
      </w:pPr>
      <w:r>
        <w:t>Pellumbra disclosure schedule approach is confirmed as a separate, cross-referenced line item for IP ownership, per Thursday's discussion and Elena Vasquez-Reyes's recommendation, with Gideon's concurrence; language to follow same day, coordinated with Elena.</w:t>
      </w:r>
    </w:p>
    <w:p>
      <w:pPr>
        <w:pStyle w:val="ListNumber"/>
      </w:pPr>
      <w:r>
        <w:t>Pellumbra clinical data assessment is half-complete (Q1/Q4 drafted, Q2/Q3 pending); Q2/Q3 resolution is now the single outstanding gate for both the clinical data disclosure entry and final confirmation of the 3.2 cross-reference language, closing out the reconciliation point raised by Bennett Ashworth and Cecile Marchand.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