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Pellumbra Engineering Leadership / Section I Working Group</w:t>
            </w:r>
          </w:p>
        </w:tc>
      </w:tr>
      <w:tr>
        <w:tc>
          <w:tcPr>
            <w:tcW w:type="dxa" w:w="4320"/>
          </w:tcPr>
          <w:p>
            <w:r>
              <w:t>From</w:t>
            </w:r>
          </w:p>
        </w:tc>
        <w:tc>
          <w:tcPr>
            <w:tcW w:type="dxa" w:w="4320"/>
          </w:tcPr>
          <w:p>
            <w:r>
              <w:t>Gideon Park, Partner, IP &amp; Technology Transactions</w:t>
            </w:r>
          </w:p>
        </w:tc>
      </w:tr>
      <w:tr>
        <w:tc>
          <w:tcPr>
            <w:tcW w:type="dxa" w:w="4320"/>
          </w:tcPr>
          <w:p>
            <w:r>
              <w:t>Re</w:t>
            </w:r>
          </w:p>
        </w:tc>
        <w:tc>
          <w:tcPr>
            <w:tcW w:type="dxa" w:w="4320"/>
          </w:tcPr>
          <w:p>
            <w:r>
              <w:t>Control-Loop Departure — Options for Injunctive Relief and Trade Secret Claims; Anticipated Timeline</w:t>
            </w:r>
          </w:p>
        </w:tc>
      </w:tr>
      <w:tr>
        <w:tc>
          <w:tcPr>
            <w:tcW w:type="dxa" w:w="4320"/>
          </w:tcPr>
          <w:p>
            <w:r>
              <w:t>Status</w:t>
            </w:r>
          </w:p>
        </w:tc>
        <w:tc>
          <w:tcPr>
            <w:tcW w:type="dxa" w:w="4320"/>
          </w:tcPr>
          <w:p>
            <w:r>
              <w:t>Privileged &amp; Confidential — Attorney Work Product</w:t>
            </w:r>
          </w:p>
        </w:tc>
      </w:tr>
    </w:tbl>
    <w:p>
      <w:r>
        <w:t>This memo picks up from the Preliminary Investigation Memorandum and the Exposure Assessment already circulated on the control-loop departure. Those documents established the factual predicate: a departing engineering lead with access to the control-loop firmware and calibration tooling, a walkout by several Section I engineers in close time proximity, and open questions about what left with them. This memo is narrower. It answers one question the group asked for ahead of this morning's meeting: what are our actual legal options, what do they cost in time and certainty, and in what order would we realistically deploy them.</w:t>
      </w:r>
    </w:p>
    <w:p>
      <w:pPr>
        <w:pStyle w:val="Heading2"/>
      </w:pPr>
      <w:r>
        <w:t>1. Framing</w:t>
      </w:r>
    </w:p>
    <w:p>
      <w:r>
        <w:t>I want to be upfront that I am slow to commit to a litigation posture before the forensic picture is settled, and nothing below should be read as a recommendation to file today. What it gives the group is the menu, the sequencing, and the honest cost of each item, so that when the forensic review firms up — which I understand is close — we are not starting the legal analysis from zero.</w:t>
      </w:r>
    </w:p>
    <w:p>
      <w:pPr>
        <w:pStyle w:val="Heading2"/>
      </w:pPr>
      <w:r>
        <w:t>2. Injunctive Relief</w:t>
      </w:r>
    </w:p>
    <w:p>
      <w:pPr>
        <w:pStyle w:val="Heading3"/>
      </w:pPr>
      <w:r>
        <w:t>2.1 Temporary Restraining Order / Preliminary Injunction</w:t>
      </w:r>
    </w:p>
    <w:p>
      <w:r>
        <w:t>The strongest, fastest tool is a TRO followed by a preliminary injunction, aimed at (a) preventing use or further disclosure of the control-loop trade secrets and (b) securing devices and accounts for forensic imaging before evidence degrades. Courts will grant this kind of relief on a compressed timeline — often days, not weeks — but only on a real showing: a likelihood of success on the merits, irreparable harm, and a balance of hardships in our favor. That means we need, at minimum, (i) a specific description of what is claimed as a trade secret (not 'the firmware' generally — the calibration constants, the tuning methodology, whatever it actually is), (ii) evidence the departing lead had access to it, and (iii) some evidentiary thread suggesting it left with him or is at risk of being used, not just suspicion arising from timing.</w:t>
      </w:r>
    </w:p>
    <w:p>
      <w:r>
        <w:t>The interesting problem here is that the walkout itself, without more, is not evidence of misappropriation. Multiple engineers leaving Section I together is exactly what it looks like if the group's culture had a rupture unrelated to IP — a management dispute, a compensation grievance, a competitor recruiting a whole team. Courts are alert to employers using trade secret injunctions to punish ordinary competition for talent. We need something specific: forensic evidence of file transfers, external drive activity, unusual access patterns in the weeks before departure, or a destination employer whose product plausibly needs exactly what we're worried about. If the forensic review turns up nothing more than the timing coincidence, a TRO motion is a weak one and a denial early in the matter makes everything downstream harder.</w:t>
      </w:r>
    </w:p>
    <w:p>
      <w:pPr>
        <w:pStyle w:val="Heading3"/>
      </w:pPr>
      <w:r>
        <w:t>2.2 Scope of relief actually available</w:t>
      </w:r>
    </w:p>
    <w:p>
      <w:pPr>
        <w:pStyle w:val="ListBullet"/>
      </w:pPr>
      <w:r>
        <w:t>Preservation orders (forensic imaging, litigation hold on the departing employee's devices and accounts) — easiest to obtain, least contested, should happen regardless of whether we go further.</w:t>
      </w:r>
    </w:p>
    <w:p>
      <w:pPr>
        <w:pStyle w:val="ListBullet"/>
      </w:pPr>
      <w:r>
        <w:t>Use/disclosure injunction against the departing lead — moderate difficulty; turns on the specificity point above.</w:t>
      </w:r>
    </w:p>
    <w:p>
      <w:pPr>
        <w:pStyle w:val="ListBullet"/>
      </w:pPr>
      <w:r>
        <w:t>Injunction reaching a new employer (if one is identified) — hardest; requires either a showing the new employer knew or should have known, or a facts pattern strong enough to support an inevitable-disclosure theory, which not all jurisdictions recognize and which courts apply cautiously even where recognized.</w:t>
      </w:r>
    </w:p>
    <w:p>
      <w:pPr>
        <w:pStyle w:val="Heading2"/>
      </w:pPr>
      <w:r>
        <w:t>3. Trade Secret Claims</w:t>
      </w:r>
    </w:p>
    <w:p>
      <w:pPr>
        <w:pStyle w:val="Heading3"/>
      </w:pPr>
      <w:r>
        <w:t>3.1 Elements we need to nail down before filing anything</w:t>
      </w:r>
    </w:p>
    <w:p>
      <w:pPr>
        <w:pStyle w:val="ListNumber"/>
      </w:pPr>
      <w:r>
        <w:t>Identify the trade secret with particularity. Under DTSA and the state trade secret statute that will apply, vague reference to 'the control-loop system' invites dismissal or a protective order fight over specificity. We need the calibration methodology, the specific tuning parameters, the test harness — whatever is actually secret and actually valuable — described concretely enough to survive scrutiny but not so exhaustively that the pleading itself becomes a disclosure risk.</w:t>
      </w:r>
    </w:p>
    <w:p>
      <w:pPr>
        <w:pStyle w:val="ListNumber"/>
      </w:pPr>
      <w:r>
        <w:t>Reasonable measures to maintain secrecy. Confirm what access controls, NDAs, and confidentiality policies were actually in force for Section I, not what the handbook says in the abstract. If access controls were loose, that undercuts the claim regardless of what happened at departure.</w:t>
      </w:r>
    </w:p>
    <w:p>
      <w:pPr>
        <w:pStyle w:val="ListNumber"/>
      </w:pPr>
      <w:r>
        <w:t>Improper acquisition, use, or disclosure. This is the evidentiary gap right now. Forensic review of the departing lead's device and account activity is the single highest-value next step and should be prioritized over any filing decision.</w:t>
      </w:r>
    </w:p>
    <w:p>
      <w:pPr>
        <w:pStyle w:val="ListNumber"/>
      </w:pPr>
      <w:r>
        <w:t>Damages or unjust enrichment theory. Even a strong misappropriation case needs a damages story — head start value, development cost avoided, or actual lost business — for anything beyond injunctive relief to matter economically.</w:t>
      </w:r>
    </w:p>
    <w:p>
      <w:pPr>
        <w:pStyle w:val="Heading3"/>
      </w:pPr>
      <w:r>
        <w:t>3.2 Claim posture</w:t>
      </w:r>
    </w:p>
    <w:p>
      <w:r>
        <w:t>Assuming the forensic review supports it, the claim would run under the Defend Trade Secrets Act (federal, gives us federal court and nationwide service tools) and the state trade secrets act as a pendent claim, plus a breach of the employee's confidentiality and IP assignment agreement as a fallback that does not depend on trade secret status being established. I'd also want to check whether the departing lead's agreement has a non-solicitation clause reaching the other Section I departures — if so, that's a separate and easier claim that does not carry the trade secret specificity burden at all.</w:t>
      </w:r>
    </w:p>
    <w:p>
      <w:pPr>
        <w:pStyle w:val="Heading2"/>
      </w:pPr>
      <w:r>
        <w:t>4. Timeline</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Trigger / Dependency</w:t>
            </w:r>
          </w:p>
        </w:tc>
        <w:tc>
          <w:tcPr>
            <w:tcW w:type="dxa" w:w="2880"/>
          </w:tcPr>
          <w:p>
            <w:r>
              <w:t>Estimated Duration</w:t>
            </w:r>
          </w:p>
        </w:tc>
      </w:tr>
      <w:tr>
        <w:tc>
          <w:tcPr>
            <w:tcW w:type="dxa" w:w="2880"/>
          </w:tcPr>
          <w:p>
            <w:r>
              <w:t>Forensic imaging and preservation</w:t>
            </w:r>
          </w:p>
        </w:tc>
        <w:tc>
          <w:tcPr>
            <w:tcW w:type="dxa" w:w="2880"/>
          </w:tcPr>
          <w:p>
            <w:r>
              <w:t>Can proceed now on existing access rights; strengthens with a preservation order</w:t>
            </w:r>
          </w:p>
        </w:tc>
        <w:tc>
          <w:tcPr>
            <w:tcW w:type="dxa" w:w="2880"/>
          </w:tcPr>
          <w:p>
            <w:r>
              <w:t>3–7 days to complete imaging</w:t>
            </w:r>
          </w:p>
        </w:tc>
      </w:tr>
      <w:tr>
        <w:tc>
          <w:tcPr>
            <w:tcW w:type="dxa" w:w="2880"/>
          </w:tcPr>
          <w:p>
            <w:r>
              <w:t>Forensic review of imaged devices/accounts</w:t>
            </w:r>
          </w:p>
        </w:tc>
        <w:tc>
          <w:tcPr>
            <w:tcW w:type="dxa" w:w="2880"/>
          </w:tcPr>
          <w:p>
            <w:r>
              <w:t>Depends on imaging completion</w:t>
            </w:r>
          </w:p>
        </w:tc>
        <w:tc>
          <w:tcPr>
            <w:tcW w:type="dxa" w:w="2880"/>
          </w:tcPr>
          <w:p>
            <w:r>
              <w:t>1–3 weeks depending on volume</w:t>
            </w:r>
          </w:p>
        </w:tc>
      </w:tr>
      <w:tr>
        <w:tc>
          <w:tcPr>
            <w:tcW w:type="dxa" w:w="2880"/>
          </w:tcPr>
          <w:p>
            <w:r>
              <w:t>Decision point: file TRO or hold</w:t>
            </w:r>
          </w:p>
        </w:tc>
        <w:tc>
          <w:tcPr>
            <w:tcW w:type="dxa" w:w="2880"/>
          </w:tcPr>
          <w:p>
            <w:r>
              <w:t>Depends on forensic findings showing more than timing coincidence</w:t>
            </w:r>
          </w:p>
        </w:tc>
        <w:tc>
          <w:tcPr>
            <w:tcW w:type="dxa" w:w="2880"/>
          </w:tcPr>
          <w:p>
            <w:r>
              <w:t>Decision within 48 hours of forensic findings</w:t>
            </w:r>
          </w:p>
        </w:tc>
      </w:tr>
      <w:tr>
        <w:tc>
          <w:tcPr>
            <w:tcW w:type="dxa" w:w="2880"/>
          </w:tcPr>
          <w:p>
            <w:r>
              <w:t>TRO hearing (if filed)</w:t>
            </w:r>
          </w:p>
        </w:tc>
        <w:tc>
          <w:tcPr>
            <w:tcW w:type="dxa" w:w="2880"/>
          </w:tcPr>
          <w:p>
            <w:r>
              <w:t>Filing</w:t>
            </w:r>
          </w:p>
        </w:tc>
        <w:tc>
          <w:tcPr>
            <w:tcW w:type="dxa" w:w="2880"/>
          </w:tcPr>
          <w:p>
            <w:r>
              <w:t>Typically 3–10 days from filing, jurisdiction-dependent</w:t>
            </w:r>
          </w:p>
        </w:tc>
      </w:tr>
      <w:tr>
        <w:tc>
          <w:tcPr>
            <w:tcW w:type="dxa" w:w="2880"/>
          </w:tcPr>
          <w:p>
            <w:r>
              <w:t>Preliminary injunction hearing</w:t>
            </w:r>
          </w:p>
        </w:tc>
        <w:tc>
          <w:tcPr>
            <w:tcW w:type="dxa" w:w="2880"/>
          </w:tcPr>
          <w:p>
            <w:r>
              <w:t>TRO granted or denied</w:t>
            </w:r>
          </w:p>
        </w:tc>
        <w:tc>
          <w:tcPr>
            <w:tcW w:type="dxa" w:w="2880"/>
          </w:tcPr>
          <w:p>
            <w:r>
              <w:t>2–6 weeks from TRO</w:t>
            </w:r>
          </w:p>
        </w:tc>
      </w:tr>
      <w:tr>
        <w:tc>
          <w:tcPr>
            <w:tcW w:type="dxa" w:w="2880"/>
          </w:tcPr>
          <w:p>
            <w:r>
              <w:t>Trade secret complaint filed (if pursuing full claim)</w:t>
            </w:r>
          </w:p>
        </w:tc>
        <w:tc>
          <w:tcPr>
            <w:tcW w:type="dxa" w:w="2880"/>
          </w:tcPr>
          <w:p>
            <w:r>
              <w:t>Can run in parallel with or shortly after TRO</w:t>
            </w:r>
          </w:p>
        </w:tc>
        <w:tc>
          <w:tcPr>
            <w:tcW w:type="dxa" w:w="2880"/>
          </w:tcPr>
          <w:p>
            <w:r>
              <w:t>Filed with or shortly after TRO motion</w:t>
            </w:r>
          </w:p>
        </w:tc>
      </w:tr>
      <w:tr>
        <w:tc>
          <w:tcPr>
            <w:tcW w:type="dxa" w:w="2880"/>
          </w:tcPr>
          <w:p>
            <w:r>
              <w:t>Discovery / merits track</w:t>
            </w:r>
          </w:p>
        </w:tc>
        <w:tc>
          <w:tcPr>
            <w:tcW w:type="dxa" w:w="2880"/>
          </w:tcPr>
          <w:p>
            <w:r>
              <w:t>Complaint filed</w:t>
            </w:r>
          </w:p>
        </w:tc>
        <w:tc>
          <w:tcPr>
            <w:tcW w:type="dxa" w:w="2880"/>
          </w:tcPr>
          <w:p>
            <w:r>
              <w:t>6–18 months to trial-ready, typical range</w:t>
            </w:r>
          </w:p>
        </w:tc>
      </w:tr>
    </w:tbl>
    <w:p>
      <w:r>
        <w:t>The realistic near-term sequence is: preserve now, review fast, and hold the injunction decision open until the forensic picture either supports specific misappropriation or doesn't. Filing before we have that is the scenario I'd push back hardest on — a denied TRO early in a case does more damage to leverage than waiting a week for the forensic vendor does.</w:t>
      </w:r>
    </w:p>
    <w:p>
      <w:pPr>
        <w:pStyle w:val="Heading2"/>
      </w:pPr>
      <w:r>
        <w:t>5. Recommended Immediate Steps</w:t>
      </w:r>
    </w:p>
    <w:p>
      <w:pPr>
        <w:pStyle w:val="ListNumber"/>
      </w:pPr>
      <w:r>
        <w:t>Issue a litigation hold and secure forensic imaging of the departing lead's devices and accounts today, regardless of any further decision.</w:t>
      </w:r>
    </w:p>
    <w:p>
      <w:pPr>
        <w:pStyle w:val="ListNumber"/>
      </w:pPr>
      <w:r>
        <w:t>Pull and review the departing lead's confidentiality, IP assignment, and any non-solicitation agreement language, and check the same for the other Section I departures.</w:t>
      </w:r>
    </w:p>
    <w:p>
      <w:pPr>
        <w:pStyle w:val="ListNumber"/>
      </w:pPr>
      <w:r>
        <w:t>Draft a particularized description of the claimed trade secret now, in parallel with the forensic work, so we are not starting that exercise under TRO time pressure.</w:t>
      </w:r>
    </w:p>
    <w:p>
      <w:pPr>
        <w:pStyle w:val="ListNumber"/>
      </w:pPr>
      <w:r>
        <w:t>Hold the TRO/PI filing decision open pending forensic results; revisit at next check-in.</w:t>
      </w:r>
    </w:p>
    <w:p>
      <w:pPr>
        <w:pStyle w:val="ListNumber"/>
      </w:pPr>
      <w:r>
        <w:t>Keep this matter's thread separate from Rosalie's, per Klara's request — the fact patterns should not be allowed to blend in anyone's notes or in ours.</w:t>
      </w:r>
    </w:p>
    <w:p>
      <w:r>
        <w:t>Happy to walk through any of this at the group meeting. I'd rather spend ten minutes on the specificity problem in Section 3.1 than have it surface for the first time in a TRO opposition 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