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Pellumbra File</w:t>
      </w:r>
    </w:p>
    <w:p>
      <w:r>
        <w:t>From: Oskar Ravndal, Associate, IP &amp; Technology</w:t>
      </w:r>
    </w:p>
    <w:p>
      <w:r>
        <w:t>Re: Cross-Border Clinical Data Assessment — Transfer of Trial Subject Data from EU Sites to U.S. Sponsor Servers</w:t>
      </w:r>
    </w:p>
    <w:p>
      <w:pPr>
        <w:pStyle w:val="Heading2"/>
      </w:pPr>
      <w:r>
        <w:t>1. Scope</w:t>
      </w:r>
    </w:p>
    <w:p>
      <w:r>
        <w:t>This memorandum assesses the legal basis for Pellumbra's transfer of clinical trial personal data collected at investigator sites in Germany, Poland, and Spain to Pellumbra's data warehouse hosted in the United States, for purposes of the Phase II trial protocol PLB-204. It addresses GDPR transfer mechanisms, the adequacy status of the recipient jurisdiction, and required contractual documentation with each site.</w:t>
      </w:r>
    </w:p>
    <w:p>
      <w:pPr>
        <w:pStyle w:val="Heading2"/>
      </w:pPr>
      <w:r>
        <w:t>2. What the Governing Documents Say</w:t>
      </w:r>
    </w:p>
    <w:p>
      <w:r>
        <w:t>The Clinical Trial Agreements executed with the three sites each incorporate, at Section 9 (Data Protection), the sponsor's standard clause: "Site shall transfer Personal Data to Sponsor only pursuant to a transfer mechanism recognized under Applicable Data Protection Law, including the Standard Contractual Clauses where applicable." None of the three executed CTAs has an SCC module attached as an exhibit. Two site agreements (Poland, Spain) reference "Exhibit D — Data Transfer Terms" which does not exist in the executed document set as delivered to us.</w:t>
      </w:r>
    </w:p>
    <w:p>
      <w:pPr>
        <w:pStyle w:val="Heading2"/>
      </w:pPr>
      <w:r>
        <w:t>3. Analysis</w:t>
      </w:r>
    </w:p>
    <w:p>
      <w:r>
        <w:t>The United States does not benefit from an EU adequacy decision. Absent the EU-U.S. Data Privacy Framework certification, transfer of clinical trial personal data from the EU sites to Pellumbra's U.S. servers requires a supplementary transfer mechanism under GDPR Article 46 — in practice, the 2021 Standard Contractual Clauses (Module 2, controller-to-processor, or Module 1, controller-to-controller, depending on the site's role).</w:t>
      </w:r>
    </w:p>
    <w:p>
      <w:r>
        <w:t>We have confirmed Pellumbra is not currently DPF-certified. The executed CTAs' cross-reference to a non-existent Exhibit D means the SCCs referenced in Section 9 were never actually incorporated. As drafted and executed, the German, Polish, and Spanish site agreements do not, on their face, provide a valid transfer mechanism for personal data already transferred to date.</w:t>
      </w:r>
    </w:p>
    <w:p>
      <w:pPr>
        <w:pStyle w:val="Heading2"/>
      </w:pPr>
      <w:r>
        <w:t>4. Transfer Impact Assessment Findings</w:t>
      </w:r>
    </w:p>
    <w:p>
      <w:pPr>
        <w:pStyle w:val="ListNumber"/>
      </w:pPr>
      <w:r>
        <w:t>Germany site: data pseudonymized at source per site SOP; residual re-identification risk assessed as low given key held solely by site PI.</w:t>
      </w:r>
    </w:p>
    <w:p>
      <w:pPr>
        <w:pStyle w:val="ListNumber"/>
      </w:pPr>
      <w:r>
        <w:t>Poland site: data transferred with direct identifiers (subject initials, birth year) in adverse-event narratives; risk assessed as moderate.</w:t>
      </w:r>
    </w:p>
    <w:p>
      <w:pPr>
        <w:pStyle w:val="ListNumber"/>
      </w:pPr>
      <w:r>
        <w:t>Spain site: data transferred via site's own cloud vendor (subprocessor not disclosed to Pellumbra); risk assessed as elevated pending subprocessor identification.</w:t>
      </w:r>
    </w:p>
    <w:p>
      <w:pPr>
        <w:pStyle w:val="Heading2"/>
      </w:pPr>
      <w:r>
        <w:t>5. Recommendation</w:t>
      </w:r>
    </w:p>
    <w:p>
      <w:pPr>
        <w:pStyle w:val="ListNumber"/>
      </w:pPr>
      <w:r>
        <w:t>Execute the 2021 SCCs (Module 1 for Germany and Spain, Module 2 for Poland based on each site's role) as standalone addenda referencing the existing CTAs, rather than relying on the missing Exhibit D.</w:t>
      </w:r>
    </w:p>
    <w:p>
      <w:pPr>
        <w:pStyle w:val="ListNumber"/>
      </w:pPr>
      <w:r>
        <w:t>Obtain from the Spain site written identification of its cloud subprocessor and confirm that subprocessor's own transfer basis.</w:t>
      </w:r>
    </w:p>
    <w:p>
      <w:pPr>
        <w:pStyle w:val="ListNumber"/>
      </w:pPr>
      <w:r>
        <w:t>Direct the Poland site to cease including direct identifiers in adverse-event narratives transmitted to the U.S. warehouse, or implement pseudonymization prior to transfer.</w:t>
      </w:r>
    </w:p>
    <w:p>
      <w:pPr>
        <w:pStyle w:val="ListNumber"/>
      </w:pPr>
      <w:r>
        <w:t>Evaluate DPF self-certification for Pellumbra as a longer-term alternative to site-by-site SCCs, given the volume of EU sites anticipated for the Phase III program.</w:t>
      </w:r>
    </w:p>
    <w:p>
      <w:pPr>
        <w:pStyle w:val="Heading2"/>
      </w:pPr>
      <w:r>
        <w:t>6. Open Items</w:t>
      </w:r>
    </w:p>
    <w:p>
      <w:r>
        <w:t>We have requested the underlying site SOPs referenced in Section 3 and are awaiting Pellumbra's confirmation of DPF certification status from its privacy officer. This assessment should be revisited on receipt of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