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Closing Note: BAA/DPA and SCC Annex Gap — Confirmed Closed</w:t>
      </w:r>
    </w:p>
    <w:p>
      <w:r>
        <w:t>Matter: Pellumbra Cross-Border Clinical Data Assessment. Author: Oskar Ravndal, Associate, IP &amp; Technology. Purpose: to confirm, for the file, that the previously identified gap concerning the Business Associate Agreement / Data Processing Agreement (BAA/DPA) and the Standard Contractual Clauses (SCC) annex has been fully closed on both sides.</w:t>
      </w:r>
    </w:p>
    <w:p>
      <w:pPr>
        <w:pStyle w:val="Heading2"/>
      </w:pPr>
      <w:r>
        <w:t>1. What the Agreement Requires</w:t>
      </w:r>
    </w:p>
    <w:p>
      <w:r>
        <w:t>Schedule 3 (Data Protection Schedule) requires that any cross-border transfer of clinical data be supported by (a) an executed BAA/DPA governing the processing relationship, and (b) SCC Annex I (List of Parties, Description of Transfer) and Annex II (Technical and Organisational Measures) incorporated by reference and completed for the specific transfer. Section 6 of Schedule 3 states that the annex is 'a condition precedent to any transfer occurring under this Schedule,' not a formality to be completed after the fact. That is the basis for treating the gap as a live remediation item until it was closed.</w:t>
      </w:r>
    </w:p>
    <w:p>
      <w:pPr>
        <w:pStyle w:val="Heading2"/>
      </w:pPr>
      <w:r>
        <w:t>2. Status Before This Note</w:t>
      </w:r>
    </w:p>
    <w:p>
      <w:r>
        <w:t>The prior draft of Schedule 3 (doc-000168, Section 1) characterized the SCC annex as an outstanding item: Annex I and Annex II content existed in substance but had not been confirmed as executed or incorporated by both parties. That draft has since been revised to reflect that the gap is closed, per the commitment recorded with Klara referenced in that revision. This note is the closing confirmation contemplated by that revision.</w:t>
      </w:r>
    </w:p>
    <w:p>
      <w:pPr>
        <w:pStyle w:val="Heading2"/>
      </w:pPr>
      <w:r>
        <w:t>3. Confirmation — Our Side</w:t>
      </w:r>
    </w:p>
    <w:p>
      <w:pPr>
        <w:pStyle w:val="ListNumber"/>
      </w:pPr>
      <w:r>
        <w:t>BAA/DPA: executed version on file, countersigned, covering the processing of clinical data described in Schedule 3.</w:t>
      </w:r>
    </w:p>
    <w:p>
      <w:pPr>
        <w:pStyle w:val="ListNumber"/>
      </w:pPr>
      <w:r>
        <w:t>SCC Annex I: List of Parties and Description of Transfer completed and incorporated into Schedule 3 by reference; content unchanged from the substantive drafting carried in doc-000168.</w:t>
      </w:r>
    </w:p>
    <w:p>
      <w:pPr>
        <w:pStyle w:val="ListNumber"/>
      </w:pPr>
      <w:r>
        <w:t>SCC Annex II: Technical and Organisational Measures completed and incorporated on the same basis.</w:t>
      </w:r>
    </w:p>
    <w:p>
      <w:pPr>
        <w:pStyle w:val="ListNumber"/>
      </w:pPr>
      <w:r>
        <w:t>Section 1, Section 6 execution note, and Section 7 open-items list of Schedule 3 (doc-000168) have been revised to remove language treating the annex as outstanding remediation, while preserving the underlying Annex I/Annex II substance unchanged.</w:t>
      </w:r>
    </w:p>
    <w:p>
      <w:pPr>
        <w:pStyle w:val="Heading2"/>
      </w:pPr>
      <w:r>
        <w:t>4. Confirmation — Counterparty Side</w:t>
      </w:r>
    </w:p>
    <w:p>
      <w:r>
        <w:t>Counterparty execution of the BAA/DPA and countersignature of the SCC annex have been confirmed per the chat commitment with Klara referenced in the revision to doc-000168. No open item remains on the counterparty side as to execution or incorporation of the annex.</w:t>
      </w:r>
    </w:p>
    <w:p>
      <w:pPr>
        <w:pStyle w:val="Heading2"/>
      </w:pPr>
      <w:r>
        <w:t>5. What Remains Open — Unrelated Items</w:t>
      </w:r>
    </w:p>
    <w:p>
      <w:r>
        <w:t>Closing the BAA/DPA/SCC annex gap does not close the file. The following items are unrelated to Schedule 3 (doc-000168) and remain open, unaffected by this note:</w:t>
      </w:r>
    </w:p>
    <w:p>
      <w:pPr>
        <w:pStyle w:val="ListBullet"/>
      </w:pPr>
      <w:r>
        <w:t>Breach-notice reconciliation between Schedule 3 and the master agreement's incident-notification provisions — still open.</w:t>
      </w:r>
    </w:p>
    <w:p>
      <w:pPr>
        <w:pStyle w:val="ListBullet"/>
      </w:pPr>
      <w:r>
        <w:t>Ravenna Section 8 issue — still open, tracked separately.</w:t>
      </w:r>
    </w:p>
    <w:p>
      <w:pPr>
        <w:pStyle w:val="ListBullet"/>
      </w:pPr>
      <w:r>
        <w:t>Fairmont OEM licence draft (draft-oem-licence-agreement.docx) — a separate matter from Schedule 3/doc-000168. The correct version of this draft still requires confirmation, and reconciliation of the repository path against yesterday's filing is pending from repository administration. Not part of this closing note and not affected by it.</w:t>
      </w:r>
    </w:p>
    <w:p>
      <w:pPr>
        <w:pStyle w:val="Heading2"/>
      </w:pPr>
      <w:r>
        <w:t>6. Conclusion</w:t>
      </w:r>
    </w:p>
    <w:p>
      <w:r>
        <w:t>The BAA/DPA and SCC annex gap identified in the Pellumbra cross-border clinical data assessment is confirmed closed on both sides as of this note. Both the executed BAA/DPA and the completed SCC Annex I/Annex II are in place and incorporated into Schedule 3. This closes that specific gap only; the unrelated open items listed in Section 5 remain outstanding and are tracked separately. This note is saved to the file as final confirmation of closure; no further action is required on the BAA/DPA/SCC annex item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