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Pellumbra Cross-Border Clinical Data Assessment</w:t>
            </w:r>
          </w:p>
        </w:tc>
      </w:tr>
      <w:tr>
        <w:tc>
          <w:tcPr>
            <w:tcW w:type="dxa" w:w="4320"/>
          </w:tcPr>
          <w:p>
            <w:r>
              <w:t>From</w:t>
            </w:r>
          </w:p>
        </w:tc>
        <w:tc>
          <w:tcPr>
            <w:tcW w:type="dxa" w:w="4320"/>
          </w:tcPr>
          <w:p>
            <w:r>
              <w:t>Oskar Ravndal</w:t>
            </w:r>
          </w:p>
        </w:tc>
      </w:tr>
      <w:tr>
        <w:tc>
          <w:tcPr>
            <w:tcW w:type="dxa" w:w="4320"/>
          </w:tcPr>
          <w:p>
            <w:r>
              <w:t>Re</w:t>
            </w:r>
          </w:p>
        </w:tc>
        <w:tc>
          <w:tcPr>
            <w:tcW w:type="dxa" w:w="4320"/>
          </w:tcPr>
          <w:p>
            <w:r>
              <w:t>Cross-border transfer of clinical trial data – preliminary assessment</w:t>
            </w:r>
          </w:p>
        </w:tc>
      </w:tr>
      <w:tr>
        <w:tc>
          <w:tcPr>
            <w:tcW w:type="dxa" w:w="4320"/>
          </w:tcPr>
          <w:p>
            <w:r>
              <w:t>Status</w:t>
            </w:r>
          </w:p>
        </w:tc>
        <w:tc>
          <w:tcPr>
            <w:tcW w:type="dxa" w:w="4320"/>
          </w:tcPr>
          <w:p>
            <w:r>
              <w:t>Draft for review</w:t>
            </w:r>
          </w:p>
        </w:tc>
      </w:tr>
    </w:tbl>
    <w:p>
      <w:pPr>
        <w:pStyle w:val="Heading2"/>
      </w:pPr>
      <w:r>
        <w:t>1. Purpose</w:t>
      </w:r>
    </w:p>
    <w:p>
      <w:r>
        <w:t>This memorandum sets out a preliminary assessment of the cross-border data transfer issues arising from Pellumbra's clinical trial program, in advance of the collaboration agreement with Ravenna and the Series C disclosure schedule work. It is intended to identify the categories of personal data involved, the jurisdictions implicated, and the transfer mechanisms available, so that the collaboration agreement and disclosure schedule can reflect an accurate description of Pellumbra's compliance posture.</w:t>
      </w:r>
    </w:p>
    <w:p>
      <w:pPr>
        <w:pStyle w:val="Heading2"/>
      </w:pPr>
      <w:r>
        <w:t>2. What the underlying documentation says</w:t>
      </w:r>
    </w:p>
    <w:p>
      <w:r>
        <w:t>Before assessing risk, the operative question is what Pellumbra's existing clinical trial agreements and data processing terms actually provide. That review is not yet complete. The site agreements and any data processing addenda referenced in the trial master file have been requested but not yet produced. This memorandum should not be read as a substitute for that review; it identifies the questions the documents need to answer.</w:t>
      </w:r>
    </w:p>
    <w:p>
      <w:pPr>
        <w:pStyle w:val="Heading2"/>
      </w:pPr>
      <w:r>
        <w:t>3. Categories of data at issue</w:t>
      </w:r>
    </w:p>
    <w:p>
      <w:pPr>
        <w:pStyle w:val="ListBullet"/>
      </w:pPr>
      <w:r>
        <w:t>Trial participant health data collected at investigator sites outside the United States</w:t>
      </w:r>
    </w:p>
    <w:p>
      <w:pPr>
        <w:pStyle w:val="ListBullet"/>
      </w:pPr>
      <w:r>
        <w:t>Pseudonymized genomic data transferred to Pellumbra's US-based data science team for analysis</w:t>
      </w:r>
    </w:p>
    <w:p>
      <w:pPr>
        <w:pStyle w:val="ListBullet"/>
      </w:pPr>
      <w:r>
        <w:t>Investigator and site personnel contact information</w:t>
      </w:r>
    </w:p>
    <w:p>
      <w:pPr>
        <w:pStyle w:val="ListBullet"/>
      </w:pPr>
      <w:r>
        <w:t>Adverse event reports containing identifiable participant information</w:t>
      </w:r>
    </w:p>
    <w:p>
      <w:pPr>
        <w:pStyle w:val="Heading2"/>
      </w:pPr>
      <w:r>
        <w:t>4. Jurisdictions implicated</w:t>
      </w:r>
    </w:p>
    <w:p>
      <w:r>
        <w:t>Based on the trial sites identified to date, at minimum the EU (via GDPR), the UK (UK GDPR), and Canada (PIPEDA) are implicated on the export side, with the United States as the primary import jurisdiction. Each of these imposes a distinct transfer mechanism requirement, and none of them may be satisfied by a single boilerplate clause in the collaboration agreement.</w:t>
      </w:r>
    </w:p>
    <w:p>
      <w:pPr>
        <w:pStyle w:val="Heading2"/>
      </w:pPr>
      <w:r>
        <w:t>5. Transfer mechanisms to evaluate</w:t>
      </w:r>
    </w:p>
    <w:p>
      <w:pPr>
        <w:pStyle w:val="ListNumber"/>
      </w:pPr>
      <w:r>
        <w:t>EU Standard Contractual Clauses (2021 Module 1 or Module 2, depending on controller/processor status) for EU-origin data</w:t>
      </w:r>
    </w:p>
    <w:p>
      <w:pPr>
        <w:pStyle w:val="ListNumber"/>
      </w:pPr>
      <w:r>
        <w:t>UK International Data Transfer Agreement or UK Addendum to the EU SCCs for UK-origin data</w:t>
      </w:r>
    </w:p>
    <w:p>
      <w:pPr>
        <w:pStyle w:val="ListNumber"/>
      </w:pPr>
      <w:r>
        <w:t>Transfer impact assessment documenting US surveillance law exposure, per Schrems II</w:t>
      </w:r>
    </w:p>
    <w:p>
      <w:pPr>
        <w:pStyle w:val="ListNumber"/>
      </w:pPr>
      <w:r>
        <w:t>Consideration of whether informed consent forms at trial sites already address international transfer, which would narrow the mechanism analysis</w:t>
      </w:r>
    </w:p>
    <w:p>
      <w:pPr>
        <w:pStyle w:val="Heading2"/>
      </w:pPr>
      <w:r>
        <w:t>6. Open items</w:t>
      </w:r>
    </w:p>
    <w:p>
      <w:pPr>
        <w:pStyle w:val="ListBullet"/>
      </w:pPr>
      <w:r>
        <w:t>Obtain and review site agreements and any existing data processing addenda</w:t>
      </w:r>
    </w:p>
    <w:p>
      <w:pPr>
        <w:pStyle w:val="ListBullet"/>
      </w:pPr>
      <w:r>
        <w:t>Confirm which entity is controller and which is processor for each data flow</w:t>
      </w:r>
    </w:p>
    <w:p>
      <w:pPr>
        <w:pStyle w:val="ListBullet"/>
      </w:pPr>
      <w:r>
        <w:t>Determine whether the Ravenna collaboration agreement will include its own transfer mechanism or incorporate Pellumbra's existing framework by reference</w:t>
      </w:r>
    </w:p>
    <w:p>
      <w:pPr>
        <w:pStyle w:val="ListBullet"/>
      </w:pPr>
      <w:r>
        <w:t>Flag findings for the Series C disclosure schedule once the mechanism analysis is complete</w:t>
      </w:r>
    </w:p>
    <w:p>
      <w:pPr>
        <w:pStyle w:val="Heading2"/>
      </w:pPr>
      <w:r>
        <w:t>7. Next steps</w:t>
      </w:r>
    </w:p>
    <w:p>
      <w:r>
        <w:t>This assessment will be updated once the underlying site agreements are produced. No transfer mechanism should be assumed in the Ravenna collaboration agreement or represented in the disclosure schedule until that review is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