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Pellumbra File</w:t>
      </w:r>
    </w:p>
    <w:p>
      <w:r>
        <w:t>From: Oskar Ravndal, Associate, IP &amp; Technology</w:t>
      </w:r>
    </w:p>
    <w:p>
      <w:r>
        <w:t>Re: Cross-Border Clinical Data Assessment — Preliminary Data Flow and Regulatory Touchpoint Analysis</w:t>
      </w:r>
    </w:p>
    <w:p>
      <w:r>
        <w:t>This memorandum records the current state of the cross-border clinical data assessment. It identifies the jurisdictions in which Pellumbra collects, processes, or transfers clinical trial data, the applicable data protection regimes triggered by each flow, and the open questions that require further factual input before a compliance recommendation can be finalized.</w:t>
      </w:r>
    </w:p>
    <w:p>
      <w:pPr>
        <w:pStyle w:val="Heading2"/>
      </w:pPr>
      <w:r>
        <w:t>1. Scope</w:t>
      </w:r>
    </w:p>
    <w:p>
      <w:r>
        <w:t>This assessment covers personal data generated in connection with Pellumbra's ongoing multi-site clinical trials, including data collected from trial sites, transmitted to central data management vendors, and shared with collaboration partners under existing agreements (see related matter: Ravenna collaboration agreement, tkt-000007). It does not address data governance provisions internal to the Ravenna agreement itself, which is treated separately.</w:t>
      </w:r>
    </w:p>
    <w:p>
      <w:pPr>
        <w:pStyle w:val="Heading2"/>
      </w:pPr>
      <w:r>
        <w:t>2. Data Flow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Origin</w:t>
            </w:r>
          </w:p>
        </w:tc>
        <w:tc>
          <w:tcPr>
            <w:tcW w:type="dxa" w:w="1728"/>
          </w:tcPr>
          <w:p>
            <w:r>
              <w:t>Destination</w:t>
            </w:r>
          </w:p>
        </w:tc>
        <w:tc>
          <w:tcPr>
            <w:tcW w:type="dxa" w:w="1728"/>
          </w:tcPr>
          <w:p>
            <w:r>
              <w:t>Data Type</w:t>
            </w:r>
          </w:p>
        </w:tc>
        <w:tc>
          <w:tcPr>
            <w:tcW w:type="dxa" w:w="1728"/>
          </w:tcPr>
          <w:p>
            <w:r>
              <w:t>Transfer Mechanism</w:t>
            </w:r>
          </w:p>
        </w:tc>
        <w:tc>
          <w:tcPr>
            <w:tcW w:type="dxa" w:w="1728"/>
          </w:tcPr>
          <w:p>
            <w:r>
              <w:t>Regime Triggered</w:t>
            </w:r>
          </w:p>
        </w:tc>
      </w:tr>
      <w:tr>
        <w:tc>
          <w:tcPr>
            <w:tcW w:type="dxa" w:w="1728"/>
          </w:tcPr>
          <w:p>
            <w:r>
              <w:t>EU trial sites</w:t>
            </w:r>
          </w:p>
        </w:tc>
        <w:tc>
          <w:tcPr>
            <w:tcW w:type="dxa" w:w="1728"/>
          </w:tcPr>
          <w:p>
            <w:r>
              <w:t>US data management vendor</w:t>
            </w:r>
          </w:p>
        </w:tc>
        <w:tc>
          <w:tcPr>
            <w:tcW w:type="dxa" w:w="1728"/>
          </w:tcPr>
          <w:p>
            <w:r>
              <w:t>Pseudonymized clinical records</w:t>
            </w:r>
          </w:p>
        </w:tc>
        <w:tc>
          <w:tcPr>
            <w:tcW w:type="dxa" w:w="1728"/>
          </w:tcPr>
          <w:p>
            <w:r>
              <w:t>Standard Contractual Clauses (assumed in place — confirm)</w:t>
            </w:r>
          </w:p>
        </w:tc>
        <w:tc>
          <w:tcPr>
            <w:tcW w:type="dxa" w:w="1728"/>
          </w:tcPr>
          <w:p>
            <w:r>
              <w:t>GDPR Art. 46</w:t>
            </w:r>
          </w:p>
        </w:tc>
      </w:tr>
      <w:tr>
        <w:tc>
          <w:tcPr>
            <w:tcW w:type="dxa" w:w="1728"/>
          </w:tcPr>
          <w:p>
            <w:r>
              <w:t>US trial sites</w:t>
            </w:r>
          </w:p>
        </w:tc>
        <w:tc>
          <w:tcPr>
            <w:tcW w:type="dxa" w:w="1728"/>
          </w:tcPr>
          <w:p>
            <w:r>
              <w:t>Central repository (US)</w:t>
            </w:r>
          </w:p>
        </w:tc>
        <w:tc>
          <w:tcPr>
            <w:tcW w:type="dxa" w:w="1728"/>
          </w:tcPr>
          <w:p>
            <w:r>
              <w:t>Clinical records, limited PHI</w:t>
            </w:r>
          </w:p>
        </w:tc>
        <w:tc>
          <w:tcPr>
            <w:tcW w:type="dxa" w:w="1728"/>
          </w:tcPr>
          <w:p>
            <w:r>
              <w:t>Internal transfer</w:t>
            </w:r>
          </w:p>
        </w:tc>
        <w:tc>
          <w:tcPr>
            <w:tcW w:type="dxa" w:w="1728"/>
          </w:tcPr>
          <w:p>
            <w:r>
              <w:t>HIPAA (if covered entity/BA relationship applies)</w:t>
            </w:r>
          </w:p>
        </w:tc>
      </w:tr>
      <w:tr>
        <w:tc>
          <w:tcPr>
            <w:tcW w:type="dxa" w:w="1728"/>
          </w:tcPr>
          <w:p>
            <w:r>
              <w:t>EU trial sites</w:t>
            </w:r>
          </w:p>
        </w:tc>
        <w:tc>
          <w:tcPr>
            <w:tcW w:type="dxa" w:w="1728"/>
          </w:tcPr>
          <w:p>
            <w:r>
              <w:t>Collaboration partner (Ravenna)</w:t>
            </w:r>
          </w:p>
        </w:tc>
        <w:tc>
          <w:tcPr>
            <w:tcW w:type="dxa" w:w="1728"/>
          </w:tcPr>
          <w:p>
            <w:r>
              <w:t>Aggregated trial results</w:t>
            </w:r>
          </w:p>
        </w:tc>
        <w:tc>
          <w:tcPr>
            <w:tcW w:type="dxa" w:w="1728"/>
          </w:tcPr>
          <w:p>
            <w:r>
              <w:t>Unclear — no transfer mechanism identified in file</w:t>
            </w:r>
          </w:p>
        </w:tc>
        <w:tc>
          <w:tcPr>
            <w:tcW w:type="dxa" w:w="1728"/>
          </w:tcPr>
          <w:p>
            <w:r>
              <w:t>GDPR Art. 44 et seq. — mechanism TBD</w:t>
            </w:r>
          </w:p>
        </w:tc>
      </w:tr>
    </w:tbl>
    <w:p>
      <w:pPr>
        <w:pStyle w:val="Heading2"/>
      </w:pPr>
      <w:r>
        <w:t>3. What the Agreements Say</w:t>
      </w:r>
    </w:p>
    <w:p>
      <w:r>
        <w:t>The Ravenna collaboration agreement (tkt-000007) has not yet been reviewed for data-sharing terms as part of this assessment; that review is a prerequisite to closing the third row of the table above. No data processing addendum or Schedule referencing cross-border transfer mechanisms has been located in the file to date. This is flagged as an open item rather than assumed resolved.</w:t>
      </w:r>
    </w:p>
    <w:p>
      <w:pPr>
        <w:pStyle w:val="Heading2"/>
      </w:pPr>
      <w:r>
        <w:t>4. Open Items</w:t>
      </w:r>
    </w:p>
    <w:p>
      <w:pPr>
        <w:pStyle w:val="ListNumber"/>
      </w:pPr>
      <w:r>
        <w:t>Confirm whether Standard Contractual Clauses are executed and on file for the EU-to-US vendor transfer, or whether reliance is instead placed on an adequacy mechanism.</w:t>
      </w:r>
    </w:p>
    <w:p>
      <w:pPr>
        <w:pStyle w:val="ListNumber"/>
      </w:pPr>
      <w:r>
        <w:t>Determine whether the US data management vendor qualifies as a Business Associate under HIPAA, and if so, whether a Business Associate Agreement is in place.</w:t>
      </w:r>
    </w:p>
    <w:p>
      <w:pPr>
        <w:pStyle w:val="ListNumber"/>
      </w:pPr>
      <w:r>
        <w:t>Obtain and review the Ravenna collaboration agreement's data-sharing and cross-border transfer provisions.</w:t>
      </w:r>
    </w:p>
    <w:p>
      <w:pPr>
        <w:pStyle w:val="ListNumber"/>
      </w:pPr>
      <w:r>
        <w:t>Identify all additional trial sites outside the EU/US (if any) and their applicable local data protection regimes.</w:t>
      </w:r>
    </w:p>
    <w:p>
      <w:pPr>
        <w:pStyle w:val="Heading2"/>
      </w:pPr>
      <w:r>
        <w:t>5. Status and Next Steps</w:t>
      </w:r>
    </w:p>
    <w:p>
      <w:r>
        <w:t>This memo reflects the state of the record as of today's review. No new substantive activity occurred on this matter yesterday requiring revision to prior analysis; this memo is filed to consolidate the data flow picture before the Ravenna agreement review is undertaken, which will supply the missing information identified in Section 4, item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