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Cross-Border Clinical Data Transfer Assessment</w:t>
      </w:r>
    </w:p>
    <w:p>
      <w:pPr>
        <w:pStyle w:val="Heading2"/>
      </w:pPr>
      <w:r>
        <w:t>Prepared for Pellumbra — Privacy and Data Protection Review</w:t>
      </w:r>
    </w:p>
    <w:p>
      <w:r>
        <w:t>This memorandum assesses the legal basis and residual risk associated with Pellumbra's transfer of clinical trial subject data collected at investigator sites outside the United States to Pellumbra's US-based data repository and to its collaboration partner Ravenna Therapeutics, in connection with the ongoing Phase II study referenced in the Ravenna collaboration agreement. This version updates the original assessment with the status of remediation steps undertaken since that assessment was issued.</w:t>
      </w:r>
    </w:p>
    <w:p>
      <w:pPr>
        <w:pStyle w:val="Heading2"/>
      </w:pPr>
      <w:r>
        <w:t>1. Scope</w:t>
      </w:r>
    </w:p>
    <w:p>
      <w:r>
        <w:t>This assessment covers personal data of clinical trial subjects collected at sites in the European Union, the United Kingdom, and Canada, and transferred to (a) Pellumbra's central data repository in the United States, and (b) Ravenna Therapeutics under the data-sharing provisions of the collaboration agreement dated within this engagement. It does not address employee data, vendor data, or data collected at US sites.</w:t>
      </w:r>
    </w:p>
    <w:p>
      <w:pPr>
        <w:pStyle w:val="Heading2"/>
      </w:pPr>
      <w:r>
        <w:t>2. What the Governing Documents Say</w:t>
      </w:r>
    </w:p>
    <w:p>
      <w:r>
        <w:t>The Clinical Trial Agreements executed with each site institution incorporate a standard data protection clause providing: "Sponsor may transfer Personal Data outside the country of collection only where such transfer is made subject to Standard Contractual Clauses approved by the European Commission or an equivalent lawful transfer mechanism, and Sponsor shall remain responsible for ensuring any sub-recipient provides an adequate level of protection." The Ravenna collaboration agreement, in turn, states at Section 8.3: "Each party shall process Shared Data in compliance with applicable data protection laws and shall not transfer Shared Data to a third country without first ensuring a valid transfer mechanism is in place." Neither agreement specifies which transfer mechanism will be used, and neither attaches an executed set of Standard Contractual Clauses (SCCs) as an exhibit.</w:t>
      </w:r>
    </w:p>
    <w:p>
      <w:pPr>
        <w:pStyle w:val="Heading2"/>
      </w:pPr>
      <w:r>
        <w:t>3. Findings</w:t>
      </w:r>
    </w:p>
    <w:p>
      <w:pPr>
        <w:pStyle w:val="ListNumber"/>
      </w:pPr>
      <w:r>
        <w:t>EU/UK sites: No executed SCCs or UK International Data Transfer Agreement (IDTA) were located in the diligence file for four of the eleven EU/UK sites reviewed. The remaining seven have SCCs executed at the 2021 module format but the transfer impact assessments (TIAs) referenced in Clause 14 of those SCCs are not on file.</w:t>
      </w:r>
    </w:p>
    <w:p>
      <w:pPr>
        <w:pStyle w:val="ListNumber"/>
      </w:pPr>
      <w:r>
        <w:t>Canada sites: Canada is not a jurisdiction the European Commission has found adequate for onward transfer from EU sites where data first routes through a Canadian contract research organization before reaching the US repository. This is an unaddressed onward-transfer gap.</w:t>
      </w:r>
    </w:p>
    <w:p>
      <w:pPr>
        <w:pStyle w:val="ListNumber"/>
      </w:pPr>
      <w:r>
        <w:t>Ravenna transfer: The collaboration agreement's Section 8.3 obligation is unimplemented — Ravenna has not been added as a data importer under any SCC module, and no transfer mechanism covers the Pellumbra-to-Ravenna leg specifically.</w:t>
      </w:r>
    </w:p>
    <w:p>
      <w:pPr>
        <w:pStyle w:val="ListNumber"/>
      </w:pPr>
      <w:r>
        <w:t>Sub-processor disclosure: Two site CROs use a subcontracted data-hosting vendor not disclosed in the original site agreements, which is inconsistent with the sub-recipient assurance language quoted above.</w:t>
      </w:r>
    </w:p>
    <w:p>
      <w:pPr>
        <w:pStyle w:val="Heading2"/>
      </w:pPr>
      <w:r>
        <w:t>4. Risk Assessment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Transfer Leg</w:t>
            </w:r>
          </w:p>
        </w:tc>
        <w:tc>
          <w:tcPr>
            <w:tcW w:type="dxa" w:w="1728"/>
          </w:tcPr>
          <w:p>
            <w:r>
              <w:t>Mechanism in Place</w:t>
            </w:r>
          </w:p>
        </w:tc>
        <w:tc>
          <w:tcPr>
            <w:tcW w:type="dxa" w:w="1728"/>
          </w:tcPr>
          <w:p>
            <w:r>
              <w:t>Gap</w:t>
            </w:r>
          </w:p>
        </w:tc>
        <w:tc>
          <w:tcPr>
            <w:tcW w:type="dxa" w:w="1728"/>
          </w:tcPr>
          <w:p>
            <w:r>
              <w:t>Risk Level</w:t>
            </w:r>
          </w:p>
        </w:tc>
        <w:tc>
          <w:tcPr>
            <w:tcW w:type="dxa" w:w="1728"/>
          </w:tcPr>
          <w:p>
            <w:r>
              <w:t>Status</w:t>
            </w:r>
          </w:p>
        </w:tc>
      </w:tr>
      <w:tr>
        <w:tc>
          <w:tcPr>
            <w:tcW w:type="dxa" w:w="1728"/>
          </w:tcPr>
          <w:p>
            <w:r>
              <w:t>EU sites -&gt; US repository</w:t>
            </w:r>
          </w:p>
        </w:tc>
        <w:tc>
          <w:tcPr>
            <w:tcW w:type="dxa" w:w="1728"/>
          </w:tcPr>
          <w:p>
            <w:r>
              <w:t>SCCs (7 of 11 sites)</w:t>
            </w:r>
          </w:p>
        </w:tc>
        <w:tc>
          <w:tcPr>
            <w:tcW w:type="dxa" w:w="1728"/>
          </w:tcPr>
          <w:p>
            <w:r>
              <w:t>Missing TIAs; 4 sites with no SCCs at all</w:t>
            </w:r>
          </w:p>
        </w:tc>
        <w:tc>
          <w:tcPr>
            <w:tcW w:type="dxa" w:w="1728"/>
          </w:tcPr>
          <w:p>
            <w:r>
              <w:t>High</w:t>
            </w:r>
          </w:p>
        </w:tc>
        <w:tc>
          <w:tcPr>
            <w:tcW w:type="dxa" w:w="1728"/>
          </w:tcPr>
          <w:p>
            <w:r>
              <w:t>2 of 4 outstanding SCCs executed; 2 sites still open</w:t>
            </w:r>
          </w:p>
        </w:tc>
      </w:tr>
      <w:tr>
        <w:tc>
          <w:tcPr>
            <w:tcW w:type="dxa" w:w="1728"/>
          </w:tcPr>
          <w:p>
            <w:r>
              <w:t>UK sites -&gt; US repository</w:t>
            </w:r>
          </w:p>
        </w:tc>
        <w:tc>
          <w:tcPr>
            <w:tcW w:type="dxa" w:w="1728"/>
          </w:tcPr>
          <w:p>
            <w:r>
              <w:t>None confirmed</w:t>
            </w:r>
          </w:p>
        </w:tc>
        <w:tc>
          <w:tcPr>
            <w:tcW w:type="dxa" w:w="1728"/>
          </w:tcPr>
          <w:p>
            <w:r>
              <w:t>No IDTA on file</w:t>
            </w:r>
          </w:p>
        </w:tc>
        <w:tc>
          <w:tcPr>
            <w:tcW w:type="dxa" w:w="1728"/>
          </w:tcPr>
          <w:p>
            <w:r>
              <w:t>High</w:t>
            </w:r>
          </w:p>
        </w:tc>
        <w:tc>
          <w:tcPr>
            <w:tcW w:type="dxa" w:w="1728"/>
          </w:tcPr>
          <w:p>
            <w:r>
              <w:t>IDTA drafted and circulated to sites; none yet countersigned</w:t>
            </w:r>
          </w:p>
        </w:tc>
      </w:tr>
      <w:tr>
        <w:tc>
          <w:tcPr>
            <w:tcW w:type="dxa" w:w="1728"/>
          </w:tcPr>
          <w:p>
            <w:r>
              <w:t>Canada sites -&gt; US repository (via CRO)</w:t>
            </w:r>
          </w:p>
        </w:tc>
        <w:tc>
          <w:tcPr>
            <w:tcW w:type="dxa" w:w="1728"/>
          </w:tcPr>
          <w:p>
            <w:r>
              <w:t>None</w:t>
            </w:r>
          </w:p>
        </w:tc>
        <w:tc>
          <w:tcPr>
            <w:tcW w:type="dxa" w:w="1728"/>
          </w:tcPr>
          <w:p>
            <w:r>
              <w:t>Onward transfer through non-adequate intermediary</w:t>
            </w:r>
          </w:p>
        </w:tc>
        <w:tc>
          <w:tcPr>
            <w:tcW w:type="dxa" w:w="1728"/>
          </w:tcPr>
          <w:p>
            <w:r>
              <w:t>Medium-High</w:t>
            </w:r>
          </w:p>
        </w:tc>
        <w:tc>
          <w:tcPr>
            <w:tcW w:type="dxa" w:w="1728"/>
          </w:tcPr>
          <w:p>
            <w:r>
              <w:t>Unchanged — no mechanism yet proposed by CRO</w:t>
            </w:r>
          </w:p>
        </w:tc>
      </w:tr>
      <w:tr>
        <w:tc>
          <w:tcPr>
            <w:tcW w:type="dxa" w:w="1728"/>
          </w:tcPr>
          <w:p>
            <w:r>
              <w:t>Pellumbra -&gt; Ravenna</w:t>
            </w:r>
          </w:p>
        </w:tc>
        <w:tc>
          <w:tcPr>
            <w:tcW w:type="dxa" w:w="1728"/>
          </w:tcPr>
          <w:p>
            <w:r>
              <w:t>None</w:t>
            </w:r>
          </w:p>
        </w:tc>
        <w:tc>
          <w:tcPr>
            <w:tcW w:type="dxa" w:w="1728"/>
          </w:tcPr>
          <w:p>
            <w:r>
              <w:t>Section 8.3 of collaboration agreement unimplemented</w:t>
            </w:r>
          </w:p>
        </w:tc>
        <w:tc>
          <w:tcPr>
            <w:tcW w:type="dxa" w:w="1728"/>
          </w:tcPr>
          <w:p>
            <w:r>
              <w:t>High</w:t>
            </w:r>
          </w:p>
        </w:tc>
        <w:tc>
          <w:tcPr>
            <w:tcW w:type="dxa" w:w="1728"/>
          </w:tcPr>
          <w:p>
            <w:r>
              <w:t>Draft SCC module sent to Ravenna for review; comments outstanding</w:t>
            </w:r>
          </w:p>
        </w:tc>
      </w:tr>
    </w:tbl>
    <w:p>
      <w:pPr>
        <w:pStyle w:val="Heading2"/>
      </w:pPr>
      <w:r>
        <w:t>5. Status of Remediation</w:t>
      </w:r>
    </w:p>
    <w:p>
      <w:pPr>
        <w:pStyle w:val="ListNumber"/>
      </w:pPr>
      <w:r>
        <w:t>EU sites: Two of the four sites lacking SCCs have now executed the 2021 module clauses; the remaining two are still in redline with site counsel and remain open items.</w:t>
      </w:r>
    </w:p>
    <w:p>
      <w:pPr>
        <w:pStyle w:val="ListNumber"/>
      </w:pPr>
      <w:r>
        <w:t>TIAs: Draft transfer impact assessments have been prepared for the seven sites with existing SCCs but have not yet been finalized or filed with the underlying agreements; this remains outstanding.</w:t>
      </w:r>
    </w:p>
    <w:p>
      <w:pPr>
        <w:pStyle w:val="ListNumber"/>
      </w:pPr>
      <w:r>
        <w:t>UK sites: An IDTA has been drafted and circulated to all UK sites; none has been countersigned as of this update.</w:t>
      </w:r>
    </w:p>
    <w:p>
      <w:pPr>
        <w:pStyle w:val="ListNumber"/>
      </w:pPr>
      <w:r>
        <w:t>Canada: No transfer mechanism has yet been proposed by the Canadian CRO for the onward-transfer leg; this gap is unchanged from the original assessment.</w:t>
      </w:r>
    </w:p>
    <w:p>
      <w:pPr>
        <w:pStyle w:val="ListNumber"/>
      </w:pPr>
      <w:r>
        <w:t>Ravenna: A dedicated SCC module has been drafted and sent to Ravenna's counsel; Ravenna's comments are outstanding and no data processing addendum has been executed.</w:t>
      </w:r>
    </w:p>
    <w:p>
      <w:pPr>
        <w:pStyle w:val="ListNumber"/>
      </w:pPr>
      <w:r>
        <w:t>Sub-processor disclosure: Updated disclosures have been requested from both site CROs; one has responded confirming the subcontracted hosting vendor and providing its data protection terms, the other has not yet responded.</w:t>
      </w:r>
    </w:p>
    <w:p>
      <w:pPr>
        <w:pStyle w:val="Heading2"/>
      </w:pPr>
      <w:r>
        <w:t>6. Recommendation</w:t>
      </w:r>
    </w:p>
    <w:p>
      <w:r>
        <w:t>We recommend that Pellumbra (a) finalize execution of SCCs for the two remaining EU sites within 15 days, (b) finalize and file the drafted TIAs for the seven sites with existing SCCs, (c) obtain countersignature of the UK IDTA from all UK sites, (d) press Ravenna for comments on the draft SCC module and execute a data processing addendum implementing Section 8.3 before further data is shared under the collaboration agreement, (e) follow up with the non-responding site CRO on sub-processor disclosure, and (f) obtain a proposed transfer mechanism from the Canadian CRO for the onward-transfer leg, which remains unaddressed. We are available to prepare the outstanding SCC, IDTA, and TIA documentation on request.</w:t>
      </w:r>
    </w:p>
    <w:p>
      <w:r>
        <w:t>Note: The intent to incorporate a 'Sandhurst exclusion finding' into this assessment has been reviewed against the available record. No reference to Sandhurst, and no confirmation from Klara concerning Sandhurst, appears anywhere in the context supplied for this engagement, and Sandhurst does not otherwise appear in this document's scope (EU/UK/Canada sites, the US repository, or Ravenna Therapeutics). Absent a documented finding and its underlying basis, no such content has been added. This document is otherwise unchanged from the prior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