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 Analysis of Revised Section 2.4 (IP Ownership) — Cross-Border Clinical Data Assessment</w:t>
      </w:r>
    </w:p>
    <w:p>
      <w:r>
        <w:t>To: Gideon Park. From: Oskar Ravndal. Re: Pellumbra — Cross-border clinical data assessment. Purpose: analysis of the revised IP ownership clause circulated for this engagement, and its effect on the data-related deliverables and rights structure.</w:t>
      </w:r>
    </w:p>
    <w:p>
      <w:pPr>
        <w:pStyle w:val="Heading2"/>
      </w:pPr>
      <w:r>
        <w:t>1. What the clause says</w:t>
      </w:r>
    </w:p>
    <w:p>
      <w:r>
        <w:t>The clause under review, as circulated verbatim, reads in full:</w:t>
      </w:r>
    </w:p>
    <w:p>
      <w:r>
        <w:t>"2.4 IP Ownership. All Intellectual Property Rights in and to any Clinical Data, Derived Data, or Analyses generated, collected, or processed by either Party in connection with this Agreement shall be owned exclusively by the Party that generated, collected, or processed such Clinical Data, Derived Data, or Analyses, provided that any Improvements made jointly by the Parties shall be owned jointly by the Parties in equal, undivided shares, and provided further that each Party grants to the other Party a non-exclusive, worldwide, royalty-free license to use such Clinical Data, Derived Data, or Analyses solely for purposes of regulatory submissions required under Applicable Law."</w:t>
      </w:r>
    </w:p>
    <w:p>
      <w:r>
        <w:t>This is the operative text; nothing else in the draft has been represented as changed. The analysis below tracks the clause as written, not as it may have been discussed in negotiation.</w:t>
      </w:r>
    </w:p>
    <w:p>
      <w:pPr>
        <w:pStyle w:val="Heading2"/>
      </w:pPr>
      <w:r>
        <w:t>2. Reading the clause element by element</w:t>
      </w:r>
    </w:p>
    <w:p>
      <w:pPr>
        <w:pStyle w:val="ListNumber"/>
      </w:pPr>
      <w:r>
        <w:t>Default rule: ownership follows the party that 'generated, collected, or processed' the Clinical Data, Derived Data, or Analyses. This is an attribution-based rule, not a contribution-based or funding-based rule. Ownership does not track who paid for the work, who designed the protocol, or who holds the underlying regulatory approval — it tracks who did the generating, collecting, or processing.</w:t>
      </w:r>
    </w:p>
    <w:p>
      <w:pPr>
        <w:pStyle w:val="ListNumber"/>
      </w:pPr>
      <w:r>
        <w:t>The three categories — Clinical Data, Derived Data, Analyses — are not defined in the clause itself. Their scope depends on definitions elsewhere in the agreement. If 'Derived Data' is defined broadly enough to capture data produced by combining one party's Clinical Data with the other party's Analyses, the attribution rule in (1) above becomes difficult to apply cleanly, because a single dataset may have been 'processed' by both parties in sequence.</w:t>
      </w:r>
    </w:p>
    <w:p>
      <w:pPr>
        <w:pStyle w:val="ListNumber"/>
      </w:pPr>
      <w:r>
        <w:t>Joint Improvements carve-out: Improvements made jointly are owned jointly, in equal undivided shares, regardless of relative contribution. 'Improvements' is a term that will need to be checked against its defined meaning elsewhere in the agreement — the clause does not itself define what qualifies as an 'Improvement' as distinct from an 'Analysis.'</w:t>
      </w:r>
    </w:p>
    <w:p>
      <w:pPr>
        <w:pStyle w:val="ListNumber"/>
      </w:pPr>
      <w:r>
        <w:t>Cross-license: each party grants the other a non-exclusive, worldwide, royalty-free license, but the license is expressly limited in purpose — 'solely for purposes of regulatory submissions required under Applicable Law.' This is narrower than a general research or commercial license. A party wishing to use the other party's Clinical Data or Analyses for internal R&amp;D, publication, or a follow-on product would not be covered by this grant as drafted.</w:t>
      </w:r>
    </w:p>
    <w:p>
      <w:pPr>
        <w:pStyle w:val="Heading2"/>
      </w:pPr>
      <w:r>
        <w:t>3. Effect on the cross-border data assessment</w:t>
      </w:r>
    </w:p>
    <w:p>
      <w:r>
        <w:t>For purposes of the cross-border clinical data assessment this engagement is running, the clause has three direct consequences that should be flagged before any position is taken with the client or opposite party.</w:t>
      </w:r>
    </w:p>
    <w:p>
      <w:pPr>
        <w:pStyle w:val="ListBullet"/>
      </w:pPr>
      <w:r>
        <w:t>Because ownership is attribution-based rather than contribution-based, the assessment needs an accurate map of which party actually generated, collected, or processed each data category in each jurisdiction. Without that map, the ownership analysis in the deliverable is speculative.</w:t>
      </w:r>
    </w:p>
    <w:p>
      <w:pPr>
        <w:pStyle w:val="ListBullet"/>
      </w:pPr>
      <w:r>
        <w:t>The regulatory-submission-only scope of the cross-license means that if the parties intend to use each other's data for anything beyond the submissions required under Applicable Law — for example, a secondary analysis for an adjacent indication — that use sits outside the license as drafted and would need either a broader grant or a separate agreement.</w:t>
      </w:r>
    </w:p>
    <w:p>
      <w:pPr>
        <w:pStyle w:val="ListBullet"/>
      </w:pPr>
      <w:r>
        <w:t>The joint-Improvements carve-out creates a category of jointly-owned IP that will need to be tracked separately in any cross-border regulatory filing, since joint ownership can raise its own disclosure and assignment issues depending on the jurisdiction of filing.</w:t>
      </w:r>
    </w:p>
    <w:p>
      <w:pPr>
        <w:pStyle w:val="Heading2"/>
      </w:pPr>
      <w:r>
        <w:t>4. Open items before the assessment can rely on this clause</w:t>
      </w:r>
    </w:p>
    <w:p>
      <w:pPr>
        <w:pStyle w:val="ListNumber"/>
      </w:pPr>
      <w:r>
        <w:t>Confirm the defined meanings of 'Clinical Data,' 'Derived Data,' 'Analyses,' and 'Improvements' elsewhere in the agreement, and confirm those definitions do not overlap in a way that undermines the attribution rule in Section 2.4.</w:t>
      </w:r>
    </w:p>
    <w:p>
      <w:pPr>
        <w:pStyle w:val="ListNumber"/>
      </w:pPr>
      <w:r>
        <w:t>Confirm which party will, as a factual matter, be generating, collecting, and processing data in each jurisdiction covered by the assessment, since that fact pattern — not the parties' expectations — determines ownership under this clause.</w:t>
      </w:r>
    </w:p>
    <w:p>
      <w:pPr>
        <w:pStyle w:val="ListNumber"/>
      </w:pPr>
      <w:r>
        <w:t>Confirm whether the client's intended uses of the counterparty's data extend beyond regulatory submissions under Applicable Law; if so, the license as drafted will not cover that use.</w:t>
      </w:r>
    </w:p>
    <w:p>
      <w:pPr>
        <w:pStyle w:val="Heading2"/>
      </w:pPr>
      <w:r>
        <w:t>5. Status of open items following further review</w:t>
      </w:r>
    </w:p>
    <w:p>
      <w:r>
        <w:t>Item 1 (defined terms). The agreement's definitions section has been checked against Section 2.4. 'Clinical Data,' 'Derived Data,' and 'Analyses' are defined without material overlap; the boundary case flagged in Section 2, item 2 — data produced by combining one party's Clinical Data with the other party's Analyses — does not appear to arise on the definitions as drafted, since 'Derived Data' is tied to processing by a single party's systems. 'Improvements' is defined separately from 'Analyses' and does not overlap with it. This item is resolved: the attribution rule in Section 2.4 can be applied on the definitions as they stand.</w:t>
      </w:r>
    </w:p>
    <w:p>
      <w:r>
        <w:t>Item 2 (factual data map). A jurisdiction-by-jurisdiction map of which party generated, collected, or processed each data category has now been obtained from the engagement team. That map should be treated as the operative factual predicate for the ownership analysis in any deliverable that follows this memorandum; it is not reproduced here but is available to whoever picks up the ownership analysis next.</w:t>
      </w:r>
    </w:p>
    <w:p>
      <w:r>
        <w:t>Item 3 (scope of intended use). Confirmation has been obtained that the client's intended use of the counterparty's data is, at present, limited to regulatory submissions under Applicable Law. No secondary-analysis or follow-on-product use has been identified. This item is resolved on the facts as currently understood, but should be re-checked if the client's plans change, since the license as drafted would not extend to a broader use.</w:t>
      </w:r>
    </w:p>
    <w:p>
      <w:r>
        <w:t>On the basis of the above, items 1 and 3 are closed. Item 2 is closed as to the existence of a data map; the substantive ownership conclusions that follow from applying that map jurisdiction-by-jurisdiction remain to be drafted and are not addressed in this memorandum.</w:t>
      </w:r>
    </w:p>
    <w:p>
      <w:r>
        <w:t>A position on ownership or license scope may now be communicated to the client for internal purposes, subject to the caveat in the preceding paragraph. No position should be communicated to opposing counsel or any third party until the jurisdiction-by-jurisdiction ownership analysis referenced in Item 2 has been drafted and reviewed.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