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Priyanka Deshmukh; Klara Bendtsen</w:t>
            </w:r>
          </w:p>
        </w:tc>
      </w:tr>
      <w:tr>
        <w:tc>
          <w:tcPr>
            <w:tcW w:type="dxa" w:w="4320"/>
          </w:tcPr>
          <w:p>
            <w:r>
              <w:t>From</w:t>
            </w:r>
          </w:p>
        </w:tc>
        <w:tc>
          <w:tcPr>
            <w:tcW w:type="dxa" w:w="4320"/>
          </w:tcPr>
          <w:p>
            <w:r>
              <w:t>Gideon Park</w:t>
            </w:r>
          </w:p>
        </w:tc>
      </w:tr>
      <w:tr>
        <w:tc>
          <w:tcPr>
            <w:tcW w:type="dxa" w:w="4320"/>
          </w:tcPr>
          <w:p>
            <w:r>
              <w:t>Re</w:t>
            </w:r>
          </w:p>
        </w:tc>
        <w:tc>
          <w:tcPr>
            <w:tcW w:type="dxa" w:w="4320"/>
          </w:tcPr>
          <w:p>
            <w:r>
              <w:t>Pellumbra — Cross-Border Clinical Data Assessment (Three Jurisdictions)</w:t>
            </w:r>
          </w:p>
        </w:tc>
      </w:tr>
      <w:tr>
        <w:tc>
          <w:tcPr>
            <w:tcW w:type="dxa" w:w="4320"/>
          </w:tcPr>
          <w:p>
            <w:r>
              <w:t>Status</w:t>
            </w:r>
          </w:p>
        </w:tc>
        <w:tc>
          <w:tcPr>
            <w:tcW w:type="dxa" w:w="4320"/>
          </w:tcPr>
          <w:p>
            <w:r>
              <w:t>Draft for review — not for external distribution</w:t>
            </w:r>
          </w:p>
        </w:tc>
      </w:tr>
    </w:tbl>
    <w:p>
      <w:pPr>
        <w:pStyle w:val="Heading2"/>
      </w:pPr>
      <w:r>
        <w:t>1. Purpose and Scope</w:t>
      </w:r>
    </w:p>
    <w:p>
      <w:r>
        <w:t>Per-Teodor Vasiliev's note flagged that Pellumbra's clinical trial data now moves across three jurisdictions in connection with the Ravenna collaboration and the upcoming Series C diligence. This memo lays out, at a working level, how each jurisdiction treats the data at issue, where the friction points sit, and what needs to be locked down before the collaboration agreement's data provisions and the Series C disclosure schedule can be finalized. It is deliberately more explanatory than a final position paper — I want Priyanka and Klara looking at the same map before we commit to contract language.</w:t>
      </w:r>
    </w:p>
    <w:p>
      <w:pPr>
        <w:pStyle w:val="Heading2"/>
      </w:pPr>
      <w:r>
        <w:t>2. What Data We're Actually Talking About</w:t>
      </w:r>
    </w:p>
    <w:p>
      <w:r>
        <w:t>Three categories move across borders under the collaboration: (a) de-identified patient-level trial data generated at Ravenna's clinical sites, (b) genomic sequencing outputs processed by Pellumbra's analytics pipeline, and (c) aggregate/statistical outputs shared back with Ravenna for regulatory submissions. The three categories are not interchangeable under any of the three regimes below — de-identification standards differ, and 'de-identified' in one jurisdiction can still be 'personal data' in another.</w:t>
      </w:r>
    </w:p>
    <w:p>
      <w:pPr>
        <w:pStyle w:val="Heading2"/>
      </w:pPr>
      <w:r>
        <w:t>3. Jurisdiction-by-Jurisdiction Read</w:t>
      </w:r>
    </w:p>
    <w:p>
      <w:pPr>
        <w:pStyle w:val="Heading3"/>
      </w:pPr>
      <w:r>
        <w:t>3.1 EU (Trial Sites Under Ravenna)</w:t>
      </w:r>
    </w:p>
    <w:p>
      <w:r>
        <w:t>GDPR treats genomic and health data as special-category data under Article 9, which means processing needs an explicit legal basis beyond ordinary consent — here, most likely Article 9(2)(j), scientific research, backed by a data protection impact assessment. The transfer mechanism question is separate from the processing question and easy to conflate: even if Ravenna has a valid research basis to process, moving the data to Pellumbra's US servers requires a transfer mechanism — Standard Contractual Clauses, most likely, with a transfer impact assessment given the Schrems II line of cases. I don't think this is controversial, but it is a step that gets skipped when people are focused on the science.</w:t>
      </w:r>
    </w:p>
    <w:p>
      <w:pPr>
        <w:pStyle w:val="Heading3"/>
      </w:pPr>
      <w:r>
        <w:t>3.2 United States</w:t>
      </w:r>
    </w:p>
    <w:p>
      <w:r>
        <w:t>HIPAA applies only if a covered entity or business associate is in the chain; Pellumbra's own analytics arm may not qualify, which is actually the harder problem, not the easier one — it means the data can fall into a gap where no single federal statute directly governs it, and we're relying on the contract (the collaboration agreement's data-handling schedule) to do the work HIPAA would otherwise do. State laws matter here too — depending on where Pellumbra's servers and personnel sit, state genetic privacy statutes (several states now have standalone genetic data statutes modeled on or exceeding GINA) may impose consent and deletion obligations independent of HIPAA.</w:t>
      </w:r>
    </w:p>
    <w:p>
      <w:pPr>
        <w:pStyle w:val="Heading3"/>
      </w:pPr>
      <w:r>
        <w:t>3.3 Third Jurisdiction — Per-Teodor's Sequencing Partner Site</w:t>
      </w:r>
    </w:p>
    <w:p>
      <w:r>
        <w:t>I don't yet have a confirmed answer on which country this is from Per-Teodor's email — the message referenced 'the sequencing partner's site' without naming it, and that needs to be nailed down before this section can be more than a placeholder. What I can say now: if it is a jurisdiction without an EU adequacy decision, the EU-side transfer analysis in 3.1 needs to be run twice — once for the Ravenna-to-Pellumbra leg, once for any onward transfer from Pellumbra to the sequencing partner. Onward transfer is the piece most collaboration agreements miss.</w:t>
      </w:r>
    </w:p>
    <w:p>
      <w:pPr>
        <w:pStyle w:val="Heading2"/>
      </w:pPr>
      <w:r>
        <w:t>4. Points of Friction for the Ravenna Agreement</w:t>
      </w:r>
    </w:p>
    <w:p>
      <w:pPr>
        <w:pStyle w:val="ListNumber"/>
      </w:pPr>
      <w:r>
        <w:t>The revised IP Ownership and Assignment Clause needs a carve-out clarifying that data ownership and IP ownership are tracked separately — Ravenna generating the raw trial data does not give it ownership of derivative genomic analysis IP, but it may have a data-return or deletion right that operates independently of the IP assignment.</w:t>
      </w:r>
    </w:p>
    <w:p>
      <w:pPr>
        <w:pStyle w:val="ListNumber"/>
      </w:pPr>
      <w:r>
        <w:t>The collaboration agreement's current data schedule (as I understand it, still in negotiation) does not yet specify a transfer mechanism for the EU leg. This needs SCCs referenced by name, not just a general confidentiality clause.</w:t>
      </w:r>
    </w:p>
    <w:p>
      <w:pPr>
        <w:pStyle w:val="ListNumber"/>
      </w:pPr>
      <w:r>
        <w:t>Series C diligence will ask direct questions about cross-border compliance posture. Klara, this assessment should feed the disclosure schedule's data-privacy representations — I'd rather over-disclose the unresolved third-jurisdiction question now than have it surface as a diligence finding later.</w:t>
      </w:r>
    </w:p>
    <w:p>
      <w:pPr>
        <w:pStyle w:val="Heading2"/>
      </w:pPr>
      <w:r>
        <w:t>5. What I Need Before I Can Give a Definitive Position</w:t>
      </w:r>
    </w:p>
    <w:p>
      <w:pPr>
        <w:pStyle w:val="ListNumber"/>
      </w:pPr>
      <w:r>
        <w:t>Confirmation from Per-Teodor of the third jurisdiction (sequencing partner site location).</w:t>
      </w:r>
    </w:p>
    <w:p>
      <w:pPr>
        <w:pStyle w:val="ListNumber"/>
      </w:pPr>
      <w:r>
        <w:t>Current draft of the collaboration agreement's data-handling schedule, redlined version, so I can align this analysis to actual contract language rather than my recollection of the term sheet.</w:t>
      </w:r>
    </w:p>
    <w:p>
      <w:pPr>
        <w:pStyle w:val="ListNumber"/>
      </w:pPr>
      <w:r>
        <w:t>Whether Pellumbra's analytics subsidiary has made any HIPAA business-associate representations in existing contracts — this affects the gap analysis in 3.2.</w:t>
      </w:r>
    </w:p>
    <w:p>
      <w:pPr>
        <w:pStyle w:val="Heading2"/>
      </w:pPr>
      <w:r>
        <w:t>6. Next Steps</w:t>
      </w:r>
    </w:p>
    <w:p>
      <w:r>
        <w:t>I'll hold the patent filing deadline work separately and keep this moving in parallel. Once I have the third jurisdiction confirmed, I'll turn this into the definitive statement Priyanka and Klara asked for — this draft is meant to get everyone oriented, not to be the final 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