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Pellumbra Engagement File</w:t>
      </w:r>
    </w:p>
    <w:p>
      <w:r>
        <w:t>From: Oskar Ravndal, Associate, IP &amp; Technology</w:t>
      </w:r>
    </w:p>
    <w:p>
      <w:r>
        <w:t>Re: Cross-Border Clinical Data Assessment — Preliminary Legal Framework and Open Questions</w:t>
      </w:r>
    </w:p>
    <w:p>
      <w:pPr>
        <w:pStyle w:val="Heading2"/>
      </w:pPr>
      <w:r>
        <w:t>1. Purpose</w:t>
      </w:r>
    </w:p>
    <w:p>
      <w:r>
        <w:t>This memorandum sets out the preliminary legal framework applicable to Pellumbra's cross-border transfer and processing of clinical trial data, identifies the open factual questions that must be resolved before a compliance opinion can be finalized, and flags issues for discussion at the next IP and Technology group meeting.</w:t>
      </w:r>
    </w:p>
    <w:p>
      <w:pPr>
        <w:pStyle w:val="Heading2"/>
      </w:pPr>
      <w:r>
        <w:t>2. What the Data Flows Actually Are (Facts Needed)</w:t>
      </w:r>
    </w:p>
    <w:p>
      <w:r>
        <w:t>The following facts must be confirmed with the client. This memorandum does not assume answers to these questions; the analysis below is scoped around them. This question list is now finalized following confirmation of the IP &amp; Technology group meeting outcome described in Section 6, and is ready for transmittal to the client relationship partner.</w:t>
      </w:r>
    </w:p>
    <w:p>
      <w:pPr>
        <w:pStyle w:val="ListNumber"/>
      </w:pPr>
      <w:r>
        <w:t>Countries in which clinical trial sites are located and the applicable data protection regime in each (e.g., EU/EEA under GDPR, UK GDPR, other jurisdiction-specific health data statutes).</w:t>
      </w:r>
    </w:p>
    <w:p>
      <w:pPr>
        <w:pStyle w:val="ListNumber"/>
      </w:pPr>
      <w:r>
        <w:t>Whether Pellumbra is the sponsor, a CRO, or a data processor/sub-processor in each relevant relationship.</w:t>
      </w:r>
    </w:p>
    <w:p>
      <w:pPr>
        <w:pStyle w:val="ListNumber"/>
      </w:pPr>
      <w:r>
        <w:t>Categories of data collected — specifically whether data is pseudonymized, anonymized, or identifiable at the point of collection and at each subsequent processing step.</w:t>
      </w:r>
    </w:p>
    <w:p>
      <w:pPr>
        <w:pStyle w:val="ListNumber"/>
      </w:pPr>
      <w:r>
        <w:t>Destination(s) of transferred data, including whether any destination lacks an adequacy decision (for EU-origin data).</w:t>
      </w:r>
    </w:p>
    <w:p>
      <w:pPr>
        <w:pStyle w:val="ListNumber"/>
      </w:pPr>
      <w:r>
        <w:t>Existing data processing agreements, data transfer agreements, or clinical trial agreements already in place with sites, CROs, or sponsors.</w:t>
      </w:r>
    </w:p>
    <w:p>
      <w:pPr>
        <w:pStyle w:val="ListNumber"/>
      </w:pPr>
      <w:r>
        <w:t>Whether any Standard Contractual Clauses (SCCs), Binding Corporate Rules, or other transfer mechanisms are already incorporated into existing agreements.</w:t>
      </w:r>
    </w:p>
    <w:p>
      <w:pPr>
        <w:pStyle w:val="Heading2"/>
      </w:pPr>
      <w:r>
        <w:t>3. Preliminary Framework — What the Governing Rules Say</w:t>
      </w:r>
    </w:p>
    <w:p>
      <w:r>
        <w:t>Pending confirmation of the facts in Section 2, the following is the applicable framework as it presently stands, stated without inference as to how it applies to Pellumbra's specific data flows.</w:t>
      </w:r>
    </w:p>
    <w:p>
      <w:pPr>
        <w:pStyle w:val="Heading3"/>
      </w:pPr>
      <w:r>
        <w:t>3.1 GDPR Chapter V (if EU/EEA-origin data is implicated)</w:t>
      </w:r>
    </w:p>
    <w:p>
      <w:r>
        <w:t>Article 44 GDPR provides that any transfer of personal data to a third country shall take place only if the conditions laid down in Chapter V are complied with, including onward transfers from the third country to another third country or international organisation. Article 46(1) provides that, in the absence of an adequacy decision under Article 45(3), a controller or processor may transfer personal data to a third country only if the controller or processor has provided appropriate safeguards, and on condition that enforceable data subject rights and effective legal remedies for data subjects are available.</w:t>
      </w:r>
    </w:p>
    <w:p>
      <w:r>
        <w:t>Article 46(2)(c) identifies standard data protection clauses adopted by the Commission as an appropriate safeguard. The current SCCs are set out in Commission Implementing Decision (EU) 2021/914.</w:t>
      </w:r>
    </w:p>
    <w:p>
      <w:pPr>
        <w:pStyle w:val="Heading3"/>
      </w:pPr>
      <w:r>
        <w:t>3.2 Schrems II and the Transfer Impact Assessment Requirement</w:t>
      </w:r>
    </w:p>
    <w:p>
      <w:r>
        <w:t>In Data Protection Commissioner v. Facebook Ireland Ltd and Maximillian Schrems (Case C-311/18), the CJEU held that reliance on SCCs does not, by itself, discharge a data exporter's obligations. The exporter must, where necessary, adopt supplementary measures to ensure that data subjects are afforded a level of protection essentially equivalent to that guaranteed within the EU, taking into account the law and practices of the destination country, including with respect to government access to data. This means a transfer impact assessment (TIA) is required for each destination country before SCCs can be relied upon as sufficient.</w:t>
      </w:r>
    </w:p>
    <w:p>
      <w:pPr>
        <w:pStyle w:val="Heading3"/>
      </w:pPr>
      <w:r>
        <w:t>3.3 Clinical Trial-Specific Considerations</w:t>
      </w:r>
    </w:p>
    <w:p>
      <w:r>
        <w:t>Where the data at issue is clinical trial data involving special category data (health data) under Article 9 GDPR, transfers require both an Article 9(2) basis (such as explicit consent under Article 9(2)(a), or scientific research purposes under Article 9(2)(j) read with Article 89) and a valid Chapter V transfer mechanism. These are separate and cumulative requirements — satisfying one does not satisfy the other.</w:t>
      </w:r>
    </w:p>
    <w:p>
      <w:pPr>
        <w:pStyle w:val="Heading3"/>
      </w:pPr>
      <w:r>
        <w:t>3.4 UK GDPR and the International Data Transfer Agreement</w:t>
      </w:r>
    </w:p>
    <w:p>
      <w:r>
        <w:t>If any trial site or data controller is established in, or the data otherwise falls within scope of, the UK GDPR, the EU SCCs are not, without modification, a valid transfer mechanism for UK-origin transfers. The UK Information Commissioner's Office has issued its own International Data Transfer Agreement (IDTA) and, alternatively, an International Data Transfer Addendum to the EU SCCs. Whichever instrument is used must be identified and matched to the correct transfer scenario (controller-to-controller, controller-to-processor, etc.) for each UK-origin data flow. This is a distinct analysis from the EU Chapter V analysis in Section 3.1 and does not follow automatically from it.</w:t>
      </w:r>
    </w:p>
    <w:p>
      <w:pPr>
        <w:pStyle w:val="Heading3"/>
      </w:pPr>
      <w:r>
        <w:t>3.5 Potential US Nexus — HIPAA and Sponsor-Side Considerations</w:t>
      </w:r>
    </w:p>
    <w:p>
      <w:r>
        <w:t>If any trial data is transferred to, or a sponsor or CRO entity is located in, the United States, a separate question arises as to whether HIPAA's Privacy Rule applies to the data at issue, which turns on whether the entity receiving the data is a covered entity or business associate under 45 C.F.R. Parts 160 and 164. HIPAA applicability is not established merely because a US entity is involved in the trial; the covered-entity/business-associate determination is fact-specific and has not yet been made for any Pellumbra counterparty. This determination is a predicate to any conclusion about whether a business associate agreement is required in addition to, or instead of, the GDPR transfer mechanisms discussed above.</w:t>
      </w:r>
    </w:p>
    <w:p>
      <w:pPr>
        <w:pStyle w:val="Heading2"/>
      </w:pPr>
      <w:r>
        <w:t>4. Open Issues for the IP &amp; Technology Group Meeting</w:t>
      </w:r>
    </w:p>
    <w:p>
      <w:pPr>
        <w:pStyle w:val="ListNumber"/>
      </w:pPr>
      <w:r>
        <w:t>Confirm which entity in the Pellumbra structure is the data controller for each trial site's data, and whether that determination changes across the trial lifecycle.</w:t>
      </w:r>
    </w:p>
    <w:p>
      <w:pPr>
        <w:pStyle w:val="ListNumber"/>
      </w:pPr>
      <w:r>
        <w:t>Confirm whether any destination country has been the subject of a completed TIA, and if not, who is responsible for commissioning one.</w:t>
      </w:r>
    </w:p>
    <w:p>
      <w:pPr>
        <w:pStyle w:val="ListNumber"/>
      </w:pPr>
      <w:r>
        <w:t>Determine whether existing site agreements already contain SCCs or whether new SCC modules (controller-to-processor, processor-to-processor, etc.) need to be executed.</w:t>
      </w:r>
    </w:p>
    <w:p>
      <w:pPr>
        <w:pStyle w:val="ListNumber"/>
      </w:pPr>
      <w:r>
        <w:t>Identify whether any onward transfers (e.g., to a central lab or a sub-CRO) have been mapped and captured contractually.</w:t>
      </w:r>
    </w:p>
    <w:p>
      <w:pPr>
        <w:pStyle w:val="ListNumber"/>
      </w:pPr>
      <w:r>
        <w:t>Flag for the group whether outside privacy counsel in the relevant destination jurisdictions should be engaged before the assessment can be finalized.</w:t>
      </w:r>
    </w:p>
    <w:p>
      <w:pPr>
        <w:pStyle w:val="ListNumber"/>
      </w:pPr>
      <w:r>
        <w:t>Confirm whether any trial site or controller is UK-established, and if so, whether the IDTA or the EU SCC Addendum is the correct instrument for each affected transfer.</w:t>
      </w:r>
    </w:p>
    <w:p>
      <w:pPr>
        <w:pStyle w:val="ListNumber"/>
      </w:pPr>
      <w:r>
        <w:t>Confirm whether any US-based sponsor, CRO, or sub-processor is or could be a HIPAA covered entity or business associate, and if so, whether a business associate agreement is already in place.</w:t>
      </w:r>
    </w:p>
    <w:p>
      <w:pPr>
        <w:pStyle w:val="ListNumber"/>
      </w:pPr>
      <w:r>
        <w:t>IP ownership as between Pellumbra and each trial site/CRO/sponsor with respect to data and derivative results — identified at the group meeting as the main open issue among the Section 4 items; Klara has already redlined the relevant provisions to address it. See Section 7 for the confirmed clause 2.4 analysis resolving this item.</w:t>
      </w:r>
    </w:p>
    <w:p>
      <w:pPr>
        <w:pStyle w:val="Heading2"/>
      </w:pPr>
      <w:r>
        <w:t>5. Status</w:t>
      </w:r>
    </w:p>
    <w:p>
      <w:r>
        <w:t>This memorandum reflects the framework as presently understood. No conclusion is offered as to Pellumbra's compliance because the factual predicate in Section 2 has not yet been supplied by the client.</w:t>
      </w:r>
    </w:p>
    <w:p>
      <w:pPr>
        <w:pStyle w:val="Heading2"/>
      </w:pPr>
      <w:r>
        <w:t>6. Follow-Up on Group Meeting Referral</w:t>
      </w:r>
    </w:p>
    <w:p>
      <w:r>
        <w:t>The outcome of the IP and Technology group meeting on the Section 4 open issues has now been confirmed. IP ownership was identified as the main open issue among the Section 4 items, and Klara has already redlined the relevant provisions to address it. The remaining Section 4 items were discussed at the meeting; this file notes IP ownership as the substantive item requiring drafting action, now in hand via Klara's redline.</w:t>
      </w:r>
    </w:p>
    <w:p>
      <w:r>
        <w:t>This tracking note is closed. The Section 2 question list is finalized and ready for transmittal to the client relationship partner, with no further confirmation outstanding from the group meeting.</w:t>
      </w:r>
    </w:p>
    <w:p>
      <w:pPr>
        <w:pStyle w:val="Heading2"/>
      </w:pPr>
      <w:r>
        <w:t>7. IP Ownership — Clause 2.4 Analysis</w:t>
      </w:r>
    </w:p>
    <w:p>
      <w:r>
        <w:t>The IP ownership open item flagged in Section 4 and referred to in Section 6 has been addressed at the clause level. New clause 2.4 was reviewed against the grant language in clause 2.3 to confirm that the two provisions operate consistently — i.e., that clause 2.4 does not narrow, contradict, or otherwise disturb the scope of the IP grant set out in clause 2.3.</w:t>
      </w:r>
    </w:p>
    <w:p>
      <w:r>
        <w:t>On review, clause 2.4 is consistent with clause 2.3's grant language. This conclusion was reached following exchange with Gideon on the exact text of clause 2.4, and Oskar has confirmed agreement with Gideon's reading. The detailed analysis supporting this conclusion has been written up separately (see "Cross-Border Clinical Data Assessment — IP Ownership Clause 2.4 Analysis").</w:t>
      </w:r>
    </w:p>
    <w:p>
      <w:r>
        <w:t>This confirms, for purposes of the Section 4 open issues list, that Klara's redline incorporating clause 2.4 is consistent with the existing clause 2.3 grant and does not require further reconciliation before the redline is finalized.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