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File</w:t>
      </w:r>
    </w:p>
    <w:p>
      <w:r>
        <w:t>From: Oskar Ravndal, Associate, IP &amp; Technology</w:t>
      </w:r>
    </w:p>
    <w:p>
      <w:r>
        <w:t>Re: Cross-Border Clinical Data Assessment — Preliminary Findings</w:t>
      </w:r>
    </w:p>
    <w:p>
      <w:pPr>
        <w:pStyle w:val="Heading2"/>
      </w:pPr>
      <w:r>
        <w:t>1. Scope</w:t>
      </w:r>
    </w:p>
    <w:p>
      <w:r>
        <w:t>This memorandum addresses the cross-border transfer of clinical trial subject data generated under Pellumbra's ongoing studies, where data collected from investigator sites outside the United States is transmitted to Pellumbra's US-based data management vendor and, in some cases, onward to the Ravenna collaboration partner under the Ravenna collaboration agreement (see related file, tkt-000007). This assessment does not address the Series C disclosure schedule treatment of these arrangements, which is tracked separately.</w:t>
      </w:r>
    </w:p>
    <w:p>
      <w:pPr>
        <w:pStyle w:val="Heading2"/>
      </w:pPr>
      <w:r>
        <w:t>2. What the Governing Documents Say</w:t>
      </w:r>
    </w:p>
    <w:p>
      <w:r>
        <w:t>The data processing agreement between Pellumbra and its clinical data vendor, Section 4.2, states: "Processor shall not transfer Personal Data outside the country of collection except pursuant to a transfer mechanism recognized under applicable Data Protection Law, and shall provide Controller with prior written notice of any such transfer not less than thirty (30) days before it occurs." No such notice appears in the file for the transfers currently occurring from the German and Polish investigator sites to the US vendor.</w:t>
      </w:r>
    </w:p>
    <w:p>
      <w:r>
        <w:t>The Ravenna collaboration agreement, Section 9.1(b), provides: "Each Party shall ensure that any transfer of Study Data to the other Party or its Affiliates complies with all applicable data protection and privacy Laws, including, where applicable, execution of standard contractual clauses or an equivalent transfer mechanism prior to transfer." The agreement does not itself attach or incorporate a set of standard contractual clauses; none appear in the executed exhibits reviewed to date.</w:t>
      </w:r>
    </w:p>
    <w:p>
      <w:pPr>
        <w:pStyle w:val="Heading2"/>
      </w:pPr>
      <w:r>
        <w:t>3. Preliminary Findings</w:t>
      </w:r>
    </w:p>
    <w:p>
      <w:pPr>
        <w:pStyle w:val="ListNumber"/>
      </w:pPr>
      <w:r>
        <w:t>Transfers from the German site (Charité-affiliated investigator) to the US vendor are occurring without the 30-day prior notice required by Section 4.2 of the data processing agreement. This is a documentation gap, not necessarily an unlawful transfer, but it is a breach of the notice covenant as written.</w:t>
      </w:r>
    </w:p>
    <w:p>
      <w:pPr>
        <w:pStyle w:val="ListNumber"/>
      </w:pPr>
      <w:r>
        <w:t>No standard contractual clauses or equivalent mechanism have been located covering the Poland-to-US leg of the same data flow. Absent an adequacy decision or a documented derogation, this transfer currently lacks the mechanism Section 9.1(b) of the Ravenna agreement requires before any transfer to Ravenna occurs.</w:t>
      </w:r>
    </w:p>
    <w:p>
      <w:pPr>
        <w:pStyle w:val="ListNumber"/>
      </w:pPr>
      <w:r>
        <w:t>The onward transfer to Ravenna (a UK entity) appears to rely on the UK's participation in adequacy arrangements with respect to EU-origin data, but the assessment has not yet confirmed whether the specific data categories transferred (genetic and health data) fall within the scope of that adequacy finding or require a supplementary mechanism.</w:t>
      </w:r>
    </w:p>
    <w:p>
      <w:pPr>
        <w:pStyle w:val="ListNumber"/>
      </w:pPr>
      <w:r>
        <w:t>No data transfer impact assessment has been performed for either leg. Given the sensitivity of the data (clinical trial health data), the absence of a documented DTIA is itself a gap under most applicable frameworks, independent of the mechanism question.</w:t>
      </w:r>
    </w:p>
    <w:p>
      <w:pPr>
        <w:pStyle w:val="Heading2"/>
      </w:pPr>
      <w:r>
        <w:t>4. Recommended Next Steps</w:t>
      </w:r>
    </w:p>
    <w:p>
      <w:pPr>
        <w:pStyle w:val="ListBullet"/>
      </w:pPr>
      <w:r>
        <w:t>Obtain from the vendor the notice records (if any) for the German-site transfers and confirm whether the 30-day notice requirement was satisfied informally, even if not documented as required by Section 4.2.</w:t>
      </w:r>
    </w:p>
    <w:p>
      <w:pPr>
        <w:pStyle w:val="ListBullet"/>
      </w:pPr>
      <w:r>
        <w:t>Prepare and execute standard contractual clauses for the Poland-to-US transfer before further data moves under that leg.</w:t>
      </w:r>
    </w:p>
    <w:p>
      <w:pPr>
        <w:pStyle w:val="ListBullet"/>
      </w:pPr>
      <w:r>
        <w:t>Confirm the UK adequacy position as applied to health/genetic data categories, and determine whether a supplementary transfer mechanism is needed for the Ravenna onward transfer.</w:t>
      </w:r>
    </w:p>
    <w:p>
      <w:pPr>
        <w:pStyle w:val="ListBullet"/>
      </w:pPr>
      <w:r>
        <w:t>Draft a data transfer impact assessment covering both legs, to be completed before the next scheduled data transmission.</w:t>
      </w:r>
    </w:p>
    <w:p>
      <w:r>
        <w:t>This is a preliminary assessment based on the documents currently in the file. It should be updated once the vendor's notice records and the UK adequacy analysis are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