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Pellumbra Engagement Team</w:t>
            </w:r>
          </w:p>
        </w:tc>
      </w:tr>
      <w:tr>
        <w:tc>
          <w:tcPr>
            <w:tcW w:type="dxa" w:w="4320"/>
          </w:tcPr>
          <w:p>
            <w:r>
              <w:t>From</w:t>
            </w:r>
          </w:p>
        </w:tc>
        <w:tc>
          <w:tcPr>
            <w:tcW w:type="dxa" w:w="4320"/>
          </w:tcPr>
          <w:p>
            <w:r>
              <w:t>Gideon Park</w:t>
            </w:r>
          </w:p>
        </w:tc>
      </w:tr>
      <w:tr>
        <w:tc>
          <w:tcPr>
            <w:tcW w:type="dxa" w:w="4320"/>
          </w:tcPr>
          <w:p>
            <w:r>
              <w:t>Re</w:t>
            </w:r>
          </w:p>
        </w:tc>
        <w:tc>
          <w:tcPr>
            <w:tcW w:type="dxa" w:w="4320"/>
          </w:tcPr>
          <w:p>
            <w:r>
              <w:t>Trade-secret exposure arising from departed engineering lead's control-loop work product</w:t>
            </w:r>
          </w:p>
        </w:tc>
      </w:tr>
      <w:tr>
        <w:tc>
          <w:tcPr>
            <w:tcW w:type="dxa" w:w="4320"/>
          </w:tcPr>
          <w:p>
            <w:r>
              <w:t>Privilege</w:t>
            </w:r>
          </w:p>
        </w:tc>
        <w:tc>
          <w:tcPr>
            <w:tcW w:type="dxa" w:w="4320"/>
          </w:tcPr>
          <w:p>
            <w:r>
              <w:t>Attorney work product — prepared in anticipation of possible dispute</w:t>
            </w:r>
          </w:p>
        </w:tc>
      </w:tr>
    </w:tbl>
    <w:p>
      <w:pPr>
        <w:pStyle w:val="Heading2"/>
      </w:pPr>
      <w:r>
        <w:t>1. Why this landed on my desk</w:t>
      </w:r>
    </w:p>
    <w:p>
      <w:r>
        <w:t>Pellumbra's engineering lead on the control-loop optimization module — the component underlying the Ravenna collaboration deliverables and referenced in the Series C disclosure schedule — departed last month. Before separation, he had broad repository access and, per IT's exit report, exported a nontrivial volume of design documents and simulation code to a personal device. The interesting problem here is that we don't yet know whether what he took is a trade secret at all, versus general engineering know-how he's entitled to carry with him, and that distinction is going to drive everything downstream.</w:t>
      </w:r>
    </w:p>
    <w:p>
      <w:pPr>
        <w:pStyle w:val="Heading2"/>
      </w:pPr>
      <w:r>
        <w:t>2. What makes control-loop work product a trade secret (or not)</w:t>
      </w:r>
    </w:p>
    <w:p>
      <w:r>
        <w:t>I want to walk through the technology briefly because the legal test tracks it closely. A control loop of this kind — tuning parameters, gain schedules, the specific sequencing of PID adjustments against sensor drift — is valuable precisely because it was arrived at through iteration that a competitor would otherwise have to repeat. That iterative record, if kept confidential and if it isn't discoverable from the shipped product by inspection or reverse engineering, is the paradigm trade secret. But the underlying control theory — the fact that a PID loop with feedforward compensation is the right architecture for this class of actuator — is textbook, and no amount of internal secrecy turns textbook engineering into a protectable secret. The exposure here lives in the specific tuning tables and the test-failure log that shows why earlier parameter sets didn't work. That's the part a competitor can't get from the product itself.</w:t>
      </w:r>
    </w:p>
    <w:p>
      <w:pPr>
        <w:pStyle w:val="Heading2"/>
      </w:pPr>
      <w:r>
        <w:t>3. Elements we need to establish</w:t>
      </w:r>
    </w:p>
    <w:p>
      <w:pPr>
        <w:pStyle w:val="ListNumber"/>
      </w:pPr>
      <w:r>
        <w:t>Secrecy: reasonable measures — access controls, NDA coverage, marking practices — actually applied to the specific files exported, not just to the repository generally.</w:t>
      </w:r>
    </w:p>
    <w:p>
      <w:pPr>
        <w:pStyle w:val="ListNumber"/>
      </w:pPr>
      <w:r>
        <w:t>Independent economic value: value derived from not being generally known, which for tuning data is plausible but needs a witness who can speak to competitive advantage in concrete terms.</w:t>
      </w:r>
    </w:p>
    <w:p>
      <w:pPr>
        <w:pStyle w:val="ListNumber"/>
      </w:pPr>
      <w:r>
        <w:t>Misappropriation: acquisition by improper means or use/disclosure in breach of a duty. Exit-report access logs establish acquisition; we have nothing yet on use or disclosure.</w:t>
      </w:r>
    </w:p>
    <w:p>
      <w:pPr>
        <w:pStyle w:val="ListNumber"/>
      </w:pPr>
      <w:r>
        <w:t>Identifiability: we must be able to describe what was taken with enough particularity to survive a motion to dismiss if this goes to suit — vague reference to 'engineering files' will not do.</w:t>
      </w:r>
    </w:p>
    <w:p>
      <w:pPr>
        <w:pStyle w:val="Heading2"/>
      </w:pPr>
      <w:r>
        <w:t>4. What I don't yet know and won't guess at</w:t>
      </w:r>
    </w:p>
    <w:p>
      <w:r>
        <w:t>We don't have confirmation of where he's headed next, whether the export was to a personal cloud account or an air-gapped drive, or whether his separation agreement contains a survival clause reaching post-employment use of confidential information as distinct from the narrower non-solicitation language. I'm not prepared to recommend a course of action — cease-and-desist letter, forensic imaging demand, or watchful waiting — until we have that picture. Committing early on incomplete facts is the mistake I'd rather avoid than the delay costs us.</w:t>
      </w:r>
    </w:p>
    <w:p>
      <w:pPr>
        <w:pStyle w:val="Heading2"/>
      </w:pPr>
      <w:r>
        <w:t>5. Immediate steps</w:t>
      </w:r>
    </w:p>
    <w:p>
      <w:pPr>
        <w:pStyle w:val="ListNumber"/>
      </w:pPr>
      <w:r>
        <w:t>IT to preserve and hash the full export log and underlying files before any routine log rotation — litigation hold to go out today.</w:t>
      </w:r>
    </w:p>
    <w:p>
      <w:pPr>
        <w:pStyle w:val="ListNumber"/>
      </w:pPr>
      <w:r>
        <w:t>Pull the departed employee's confidentiality and IP-assignment agreements and confirm survival language.</w:t>
      </w:r>
    </w:p>
    <w:p>
      <w:pPr>
        <w:pStyle w:val="ListNumber"/>
      </w:pPr>
      <w:r>
        <w:t>Identify, by name, the specific files exported that correspond to tuning tables and test logs rather than general design documentation.</w:t>
      </w:r>
    </w:p>
    <w:p>
      <w:pPr>
        <w:pStyle w:val="ListNumber"/>
      </w:pPr>
      <w:r>
        <w:t>Determine, if possible without tipping our hand, his next employer or venture.</w:t>
      </w:r>
    </w:p>
    <w:p>
      <w:pPr>
        <w:pStyle w:val="ListNumber"/>
      </w:pPr>
      <w:r>
        <w:t>Hold off on any contact with the individual until items 1–4 are complete.</w:t>
      </w:r>
    </w:p>
    <w:p>
      <w:pPr>
        <w:pStyle w:val="Heading2"/>
      </w:pPr>
      <w:r>
        <w:t>6. Relationship to the Ravenna and Series C workstreams</w:t>
      </w:r>
    </w:p>
    <w:p>
      <w:r>
        <w:t>This matters beyond the immediate dispute. If the control-loop work product is contested or its secrecy is in question, that bears on the IP representations in both the Ravenna collaboration agreement and the Series C disclosure schedule. I'll flag this to the deal teams once we have enough clarity to know whether disclosure is required, but I don't want to raise a flag we may need to retract.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