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Klara Bendtsen</w:t>
      </w:r>
    </w:p>
    <w:p>
      <w:r>
        <w:t>From: Oskar Ravndal</w:t>
      </w:r>
    </w:p>
    <w:p>
      <w:r>
        <w:t>Re: Vendor BAA/DPA Terms — Cross-Border Clinical Data Assessment</w:t>
      </w:r>
    </w:p>
    <w:p>
      <w:pPr>
        <w:pStyle w:val="Heading2"/>
      </w:pPr>
      <w:r>
        <w:t>1. Purpose</w:t>
      </w:r>
    </w:p>
    <w:p>
      <w:r>
        <w:t>This memorandum reviews the Business Associate Agreement (BAA) and Data Processing Agreement (DPA) terms across Pellumbra's clinical-data vendors, in support of the cross-border clinical data assessment. It is separate from the patent-filing workstream, consistent with the scoping discussed with Klara Bendtsen. Klara is pulling the actual BAA/DPA text from the vendor files; this memo sets out the terms extracted to date and flags where overlap with the Ravenna collaboration agreement is likely.</w:t>
      </w:r>
    </w:p>
    <w:p>
      <w:pPr>
        <w:pStyle w:val="Heading2"/>
      </w:pPr>
      <w:r>
        <w:t>2. What the Agreements Say</w:t>
      </w:r>
    </w:p>
    <w:p>
      <w:r>
        <w:t>The relevant vendor BAAs each contain a data-location clause substantially in the following form: "Business Associate shall not transfer, store, or process Protected Health Information outside the United States without the prior written consent of Covered Entity." Two of the three vendor DPAs reviewed to date (the clinical-imaging vendor and the lab-services vendor) include this clause without qualification. The third (the patient-recruitment platform vendor) includes a carve-out permitting processing in the European Economic Area "for the sole purpose of EU trial-site coordination," subject to Standard Contractual Clauses being executed as an addendum. No such SCC addendum has been located in the vendor file; this is flagged below as an open item.</w:t>
      </w:r>
    </w:p>
    <w:p>
      <w:r>
        <w:t>Each of the three DPAs defines "Personal Data" and "Protected Health Information" separately, and the breach-notification clauses are not aligned: the clinical-imaging vendor's DPA requires notice "without undue delay and in any event within 72 hours," the lab-services vendor's requires notice "promptly," and the patient-recruitment platform vendor's requires notice "within 5 business days." These are the operative notice periods; none has been amended by side letter so far as the reviewed file reflects.</w:t>
      </w:r>
    </w:p>
    <w:p>
      <w:pPr>
        <w:pStyle w:val="Heading2"/>
      </w:pPr>
      <w:r>
        <w:t>3. Overlap with the Ravenna Collaboration Agreement</w:t>
      </w:r>
    </w:p>
    <w:p>
      <w:r>
        <w:t>The Ravenna collaboration agreement's data-sharing provisions (Section 8, Data Rights and Privacy) impose a cross-border transfer restriction on clinical trial data generated under that agreement. Because two of the three vendors under review process data that will be shared with Ravenna under the collaboration, the vendor-level BAA/DPA transfer restrictions and the Ravenna Section 8 restriction operate on the same data and need to be read together, not independently. Overlap is likely for the clinical-imaging vendor and the lab-services vendor specifically; the patient-recruitment platform vendor's data does not currently flow into the Ravenna collaboration workstream and is lower priority for reconciliation.</w:t>
      </w:r>
    </w:p>
    <w:p>
      <w:pPr>
        <w:pStyle w:val="Heading2"/>
      </w:pPr>
      <w:r>
        <w:t>4. Open Items</w:t>
      </w:r>
    </w:p>
    <w:p>
      <w:r>
        <w:t>The following items remain open notwithstanding Klara's closeout of the BAA/DPA review workstream (see Section 6). Closeout of the terms-extraction task does not resolve these substantive questions, which require further input before the cross-border assessment can rely on the vendor terms as reconciled.</w:t>
      </w:r>
    </w:p>
    <w:p>
      <w:pPr>
        <w:pStyle w:val="ListNumber"/>
      </w:pPr>
      <w:r>
        <w:t>Locate or confirm absence of the SCC addendum referenced in the patient-recruitment platform vendor's DPA carve-out. Status: unresolved; not addressed in Klara's closeout communication.</w:t>
      </w:r>
    </w:p>
    <w:p>
      <w:pPr>
        <w:pStyle w:val="ListNumber"/>
      </w:pPr>
      <w:r>
        <w:t>Reconcile the three divergent breach-notification periods (72 hours / "promptly" / 5 business days) against the notice obligation the firm is drafting for the cross-border assessment's summary recommendations. Status: unresolved; pending drafting of the summary recommendations.</w:t>
      </w:r>
    </w:p>
    <w:p>
      <w:pPr>
        <w:pStyle w:val="ListNumber"/>
      </w:pPr>
      <w:r>
        <w:t>Confirm with Klara whether the clinical-imaging and lab-services vendor terms should be flagged directly in the Ravenna Section 8 analysis or addressed as a standalone vendor-management recommendation. Status: pending Klara's response; raised again in Section 6.</w:t>
      </w:r>
    </w:p>
    <w:p>
      <w:pPr>
        <w:pStyle w:val="Heading2"/>
      </w:pPr>
      <w:r>
        <w:t>5. Status</w:t>
      </w:r>
    </w:p>
    <w:p>
      <w:r>
        <w:t>Klara has confirmed receipt of these BAA/DPA terms and is closing out the BAA/DPA review workstream on her end. This memo is the vendor-terms record for that closeout; no further action from this side pending her response on the open items in Section 4.</w:t>
      </w:r>
    </w:p>
    <w:p>
      <w:pPr>
        <w:pStyle w:val="Heading2"/>
      </w:pPr>
      <w:r>
        <w:t>6. Next Steps</w:t>
      </w:r>
    </w:p>
    <w:p>
      <w:r>
        <w:t>Klara's closeout confirms the terms-extraction task is complete and the vendor-terms record in Sections 2-3 is accepted as accurate. It does not resolve the three open items in Section 4, which sit outside the scope of what Klara closed out. Before this memo can be treated as final for purposes of the cross-border assessment, the following should occur: (i) the vendor file should be checked again, or Klara asked directly, for the SCC addendum; (ii) the breach-notification reconciliation should be run against whatever single notice period the assessment's summary recommendations adopt, once drafted; and (iii) Klara should confirm the placement decision on the clinical-imaging and lab-services vendor terms (Ravenna Section 8 analysis versus standalone vendor-management recommendation) so the next draft of this memo — or the Ravenna analysis itself — reflects the agreed treatment.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