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Cross-Border Clinical Data Assessment</w:t>
            </w:r>
          </w:p>
        </w:tc>
      </w:tr>
      <w:tr>
        <w:tc>
          <w:tcPr>
            <w:tcW w:type="dxa" w:w="4320"/>
          </w:tcPr>
          <w:p>
            <w:r>
              <w:t>From</w:t>
            </w:r>
          </w:p>
        </w:tc>
        <w:tc>
          <w:tcPr>
            <w:tcW w:type="dxa" w:w="4320"/>
          </w:tcPr>
          <w:p>
            <w:r>
              <w:t>Oskar Ravndal, Associate, IP &amp; Technology</w:t>
            </w:r>
          </w:p>
        </w:tc>
      </w:tr>
      <w:tr>
        <w:tc>
          <w:tcPr>
            <w:tcW w:type="dxa" w:w="4320"/>
          </w:tcPr>
          <w:p>
            <w:r>
              <w:t>Re</w:t>
            </w:r>
          </w:p>
        </w:tc>
        <w:tc>
          <w:tcPr>
            <w:tcW w:type="dxa" w:w="4320"/>
          </w:tcPr>
          <w:p>
            <w:r>
              <w:t>Preliminary assessment of cross-border transfer of clinical trial data</w:t>
            </w:r>
          </w:p>
        </w:tc>
      </w:tr>
      <w:tr>
        <w:tc>
          <w:tcPr>
            <w:tcW w:type="dxa" w:w="4320"/>
          </w:tcPr>
          <w:p>
            <w:r>
              <w:t>Status</w:t>
            </w:r>
          </w:p>
        </w:tc>
        <w:tc>
          <w:tcPr>
            <w:tcW w:type="dxa" w:w="4320"/>
          </w:tcPr>
          <w:p>
            <w:r>
              <w:t>Draft for internal review</w:t>
            </w:r>
          </w:p>
        </w:tc>
      </w:tr>
    </w:tbl>
    <w:p>
      <w:pPr>
        <w:pStyle w:val="Heading2"/>
      </w:pPr>
      <w:r>
        <w:t>1. Scope</w:t>
      </w:r>
    </w:p>
    <w:p>
      <w:r>
        <w:t>This memorandum assesses the legal basis and open exposure points for Pellumbra's transfer of clinical trial subject data collected at investigator sites outside the United States to its US-based data warehouse and to its contract research organization ("CRO"). It is a working assessment; it does not constitute final advice and should not be relied on for a regulatory filing without further review of the underlying site agreements and consent forms, which have not yet all been produced.</w:t>
      </w:r>
    </w:p>
    <w:p>
      <w:pPr>
        <w:pStyle w:val="Heading2"/>
      </w:pPr>
      <w:r>
        <w:t>2. What the governing documents say</w:t>
      </w:r>
    </w:p>
    <w:p>
      <w:r>
        <w:t>The master clinical trial agreement between Pellumbra and each investigator site ("CTA") contains, at Section 9.2, the following data-transfer clause, quoted in full because the analysis turns on its exact wording:</w:t>
      </w:r>
    </w:p>
    <w:p>
      <w:r>
        <w:t>"Site shall transfer Subject Data to Sponsor's designated data repository only where (a) Subject has executed the informed consent form approved by the applicable ethics committee, and (b) the transfer is made pursuant to a data transfer mechanism recognized under Applicable Data Protection Law, including but not limited to standard contractual clauses adopted by the competent authority."</w:t>
      </w:r>
    </w:p>
    <w:p>
      <w:r>
        <w:t>Two consequences follow directly from that text, not from any summary of it. First, the consent form itself is the operative gating document — a site cannot rely on the CTA alone to authorize transfer if the consent form used at that site does not itself describe cross-border transfer to the US. Second, "a data transfer mechanism recognized under Applicable Data Protection Law" is undefined in the CTA; the agreement does not specify which mechanism, leaving that to be established site-by-site.</w:t>
      </w:r>
    </w:p>
    <w:p>
      <w:pPr>
        <w:pStyle w:val="Heading2"/>
      </w:pPr>
      <w:r>
        <w:t>3. Site-by-site status</w:t>
      </w:r>
    </w:p>
    <w:tbl>
      <w:tblPr>
        <w:tblW w:type="auto" w:w="0"/>
        <w:tblLook w:firstColumn="1" w:firstRow="1" w:lastColumn="0" w:lastRow="0" w:noHBand="0" w:noVBand="1" w:val="04A0"/>
      </w:tblPr>
      <w:tblGrid>
        <w:gridCol w:w="2160"/>
        <w:gridCol w:w="2160"/>
        <w:gridCol w:w="2160"/>
        <w:gridCol w:w="2160"/>
      </w:tblGrid>
      <w:tr>
        <w:tc>
          <w:tcPr>
            <w:tcW w:type="dxa" w:w="2160"/>
          </w:tcPr>
          <w:p>
            <w:r>
              <w:t>Site jurisdiction</w:t>
            </w:r>
          </w:p>
        </w:tc>
        <w:tc>
          <w:tcPr>
            <w:tcW w:type="dxa" w:w="2160"/>
          </w:tcPr>
          <w:p>
            <w:r>
              <w:t>Consent form references US transfer</w:t>
            </w:r>
          </w:p>
        </w:tc>
        <w:tc>
          <w:tcPr>
            <w:tcW w:type="dxa" w:w="2160"/>
          </w:tcPr>
          <w:p>
            <w:r>
              <w:t>Transfer mechanism in place</w:t>
            </w:r>
          </w:p>
        </w:tc>
        <w:tc>
          <w:tcPr>
            <w:tcW w:type="dxa" w:w="2160"/>
          </w:tcPr>
          <w:p>
            <w:r>
              <w:t>Open item</w:t>
            </w:r>
          </w:p>
        </w:tc>
      </w:tr>
      <w:tr>
        <w:tc>
          <w:tcPr>
            <w:tcW w:type="dxa" w:w="2160"/>
          </w:tcPr>
          <w:p>
            <w:r>
              <w:t>Germany</w:t>
            </w:r>
          </w:p>
        </w:tc>
        <w:tc>
          <w:tcPr>
            <w:tcW w:type="dxa" w:w="2160"/>
          </w:tcPr>
          <w:p>
            <w:r>
              <w:t>Yes</w:t>
            </w:r>
          </w:p>
        </w:tc>
        <w:tc>
          <w:tcPr>
            <w:tcW w:type="dxa" w:w="2160"/>
          </w:tcPr>
          <w:p>
            <w:r>
              <w:t>EU Standard Contractual Clauses (2021 module 2)</w:t>
            </w:r>
          </w:p>
        </w:tc>
        <w:tc>
          <w:tcPr>
            <w:tcW w:type="dxa" w:w="2160"/>
          </w:tcPr>
          <w:p>
            <w:r>
              <w:t>None identified</w:t>
            </w:r>
          </w:p>
        </w:tc>
      </w:tr>
      <w:tr>
        <w:tc>
          <w:tcPr>
            <w:tcW w:type="dxa" w:w="2160"/>
          </w:tcPr>
          <w:p>
            <w:r>
              <w:t>Poland</w:t>
            </w:r>
          </w:p>
        </w:tc>
        <w:tc>
          <w:tcPr>
            <w:tcW w:type="dxa" w:w="2160"/>
          </w:tcPr>
          <w:p>
            <w:r>
              <w:t>Yes</w:t>
            </w:r>
          </w:p>
        </w:tc>
        <w:tc>
          <w:tcPr>
            <w:tcW w:type="dxa" w:w="2160"/>
          </w:tcPr>
          <w:p>
            <w:r>
              <w:t>EU Standard Contractual Clauses (2021 module 2)</w:t>
            </w:r>
          </w:p>
        </w:tc>
        <w:tc>
          <w:tcPr>
            <w:tcW w:type="dxa" w:w="2160"/>
          </w:tcPr>
          <w:p>
            <w:r>
              <w:t>None identified</w:t>
            </w:r>
          </w:p>
        </w:tc>
      </w:tr>
      <w:tr>
        <w:tc>
          <w:tcPr>
            <w:tcW w:type="dxa" w:w="2160"/>
          </w:tcPr>
          <w:p>
            <w:r>
              <w:t>Brazil</w:t>
            </w:r>
          </w:p>
        </w:tc>
        <w:tc>
          <w:tcPr>
            <w:tcW w:type="dxa" w:w="2160"/>
          </w:tcPr>
          <w:p>
            <w:r>
              <w:t>No — consent form predates 2023 protocol amendment</w:t>
            </w:r>
          </w:p>
        </w:tc>
        <w:tc>
          <w:tcPr>
            <w:tcW w:type="dxa" w:w="2160"/>
          </w:tcPr>
          <w:p>
            <w:r>
              <w:t>None executed</w:t>
            </w:r>
          </w:p>
        </w:tc>
        <w:tc>
          <w:tcPr>
            <w:tcW w:type="dxa" w:w="2160"/>
          </w:tcPr>
          <w:p>
            <w:r>
              <w:t>Consent form does not authorize cross-border transfer; re-consent or amendment required before further transfer</w:t>
            </w:r>
          </w:p>
        </w:tc>
      </w:tr>
      <w:tr>
        <w:tc>
          <w:tcPr>
            <w:tcW w:type="dxa" w:w="2160"/>
          </w:tcPr>
          <w:p>
            <w:r>
              <w:t>South Korea</w:t>
            </w:r>
          </w:p>
        </w:tc>
        <w:tc>
          <w:tcPr>
            <w:tcW w:type="dxa" w:w="2160"/>
          </w:tcPr>
          <w:p>
            <w:r>
              <w:t>Yes</w:t>
            </w:r>
          </w:p>
        </w:tc>
        <w:tc>
          <w:tcPr>
            <w:tcW w:type="dxa" w:w="2160"/>
          </w:tcPr>
          <w:p>
            <w:r>
              <w:t>PIPA-compliant transfer agreement pending signature</w:t>
            </w:r>
          </w:p>
        </w:tc>
        <w:tc>
          <w:tcPr>
            <w:tcW w:type="dxa" w:w="2160"/>
          </w:tcPr>
          <w:p>
            <w:r>
              <w:t>Mechanism drafted but not yet executed by site PI</w:t>
            </w:r>
          </w:p>
        </w:tc>
      </w:tr>
      <w:tr>
        <w:tc>
          <w:tcPr>
            <w:tcW w:type="dxa" w:w="2160"/>
          </w:tcPr>
          <w:p>
            <w:r>
              <w:t>India</w:t>
            </w:r>
          </w:p>
        </w:tc>
        <w:tc>
          <w:tcPr>
            <w:tcW w:type="dxa" w:w="2160"/>
          </w:tcPr>
          <w:p>
            <w:r>
              <w:t>Silent on destination country</w:t>
            </w:r>
          </w:p>
        </w:tc>
        <w:tc>
          <w:tcPr>
            <w:tcW w:type="dxa" w:w="2160"/>
          </w:tcPr>
          <w:p>
            <w:r>
              <w:t>None identified</w:t>
            </w:r>
          </w:p>
        </w:tc>
        <w:tc>
          <w:tcPr>
            <w:tcW w:type="dxa" w:w="2160"/>
          </w:tcPr>
          <w:p>
            <w:r>
              <w:t>Consent language ambiguous; site counsel review requested</w:t>
            </w:r>
          </w:p>
        </w:tc>
      </w:tr>
    </w:tbl>
    <w:p>
      <w:pPr>
        <w:pStyle w:val="Heading2"/>
      </w:pPr>
      <w:r>
        <w:t>4. Analysis</w:t>
      </w:r>
    </w:p>
    <w:p>
      <w:r>
        <w:t>The Brazil and India sites present the clearest exposure. For Brazil, Section 9.2(a) is not satisfied on the facts as they stand — the consent form in use does not describe transfer to a US repository, and the CTA's own terms condition the site's obligation to transfer on that consent language existing. Continued transfer from the Brazil site pending re-consent is a transfer the CTA does not, on its face, permit.</w:t>
      </w:r>
    </w:p>
    <w:p>
      <w:r>
        <w:t>For India, the consent form is silent rather than affirmatively deficient, which is a different problem: silence does not satisfy Section 9.2(a)'s requirement that the consent form be "approved by the applicable ethics committee" for the transfer being made, if the ethics committee's approval was given without knowledge that transfer outside India was contemplated. This turns on what the ethics committee record says, which has been requested from site counsel but not yet received.</w:t>
      </w:r>
    </w:p>
    <w:p>
      <w:r>
        <w:t>South Korea is a timing gap, not a substantive one: the mechanism exists in drafted form and satisfies Section 9.2(b) once executed. Data received from that site before execution is technically outside the CTA's authorization, though the volume to date is limited to two subjects' baseline visit data.</w:t>
      </w:r>
    </w:p>
    <w:p>
      <w:pPr>
        <w:pStyle w:val="Heading2"/>
      </w:pPr>
      <w:r>
        <w:t>5. Recommended next steps</w:t>
      </w:r>
    </w:p>
    <w:p>
      <w:pPr>
        <w:pStyle w:val="ListNumber"/>
      </w:pPr>
      <w:r>
        <w:t>Suspend further transfer of Subject Data from the Brazil site until an amended or re-executed consent form referencing the US repository is obtained.</w:t>
      </w:r>
    </w:p>
    <w:p>
      <w:pPr>
        <w:pStyle w:val="ListNumber"/>
      </w:pPr>
      <w:r>
        <w:t>Request the India ethics committee's approval record to determine whether the scope of approval extends to cross-border transfer.</w:t>
      </w:r>
    </w:p>
    <w:p>
      <w:pPr>
        <w:pStyle w:val="ListNumber"/>
      </w:pPr>
      <w:r>
        <w:t>Confirm execution date of the South Korea PIPA transfer agreement and reconcile against data already received.</w:t>
      </w:r>
    </w:p>
    <w:p>
      <w:pPr>
        <w:pStyle w:val="ListNumber"/>
      </w:pPr>
      <w:r>
        <w:t>Confirm with the CRO whether any further downstream transfer (e.g., to a sub-processor) is occurring, as Section 9.2 addresses transfer to Sponsor's repository but does not on its face address onward transfer by Sponsor or CRO.</w:t>
      </w:r>
    </w:p>
    <w:p>
      <w:pPr>
        <w:pStyle w:val="Heading2"/>
      </w:pPr>
      <w:r>
        <w:t>6. Onward transfer by the CRO</w:t>
      </w:r>
    </w:p>
    <w:p>
      <w:r>
        <w:t>Section 9.2 of the CTA, quoted above, governs transfer by Site to Sponsor's designated data repository. It says nothing about what happens to Subject Data once it reaches that repository or the CRO. On its face, the clause does not authorize, condition, or otherwise address onward transfer by Sponsor or by the CRO to a sub-processor, a secondary storage environment, or a further downstream recipient. Any such onward transfer therefore rests on whatever data processing agreement exists between Pellumbra and the CRO, not on the CTA, and that agreement has not yet been reviewed as part of this assessment. Until it is, no conclusion can be drawn about whether onward transfer — if occurring — is authorized. This remains the open item identified in Section 5 above; it is restated here because the answer, once obtained, will determine whether this memorandum's scope needs to expand beyond the site-level consent and mechanism analysis in Sections 3 and 4.</w:t>
      </w:r>
    </w:p>
    <w:p>
      <w:pPr>
        <w:pStyle w:val="Heading2"/>
      </w:pPr>
      <w:r>
        <w:t>7. Status of this assessment</w:t>
      </w:r>
    </w:p>
    <w:p>
      <w:r>
        <w:t>This memorandum remains a working assessment and has not gone to sign-off. Sign-off is pending written confirmation from Priyanka Sandhurst and her stated basis for the Sandhurst exclusion finding; that confirmation is a separate item from, and is not resolved by, the Gideon Sandhurst chase referenced elsewhere in the file. Until that confirmation is received, none of the site-level conclusions in Section 4 — including the Brazil suspension recommendation and the India ambiguity finding — should be treated as final, and none should be represented to Pellumbra as cleared for action beyond the interim step already recommended in Section 5.</w:t>
      </w:r>
    </w:p>
    <w:p>
      <w:r>
        <w:t>This assessment should be revisited once the outstanding site consent forms, the India ethics committee record, the CRO data processing agreement referenced in Section 6, the data localization research introduced in Section 8, and Priyanka Sandhurst's written confirmation are produced.</w:t>
      </w:r>
    </w:p>
    <w:p>
      <w:pPr>
        <w:pStyle w:val="Heading2"/>
      </w:pPr>
      <w:r>
        <w:t>8. Data localization requirements — preliminary research</w:t>
      </w:r>
    </w:p>
    <w:p>
      <w:r>
        <w:t>Section 9.2(b) of the CTA conditions transfer on use of "a data transfer mechanism recognized under Applicable Data Protection Law." That phrase addresses the lawful basis for moving data across a border; it does not address whether the source jurisdiction separately requires that some or all of the data, or a copy of it, remain within its territory regardless of the transfer mechanism used. That is a distinct question — data localization — and the CTA's text does not speak to it at all. This section begins the technical research needed to determine whether localization requirements exist in the jurisdictions already listed in Section 3, and, if so, whether the current transfer practice at each site is consistent with them.</w:t>
      </w:r>
    </w:p>
    <w:p>
      <w:r>
        <w:t>For Germany and Poland, both EU member states, no EU-wide instrument mandates that clinical trial subject data remain physically within the Union; the EU Standard Contractual Clauses already in place at both sites (Section 3) address the transfer-mechanism requirement of Section 9.2(b) directly. Whether either member state has layered a sector-specific localization rule onto clinical trial data (as distinct from the general GDPR transfer regime) has not yet been confirmed and is flagged as an open research item rather than resolved here.</w:t>
      </w:r>
    </w:p>
    <w:p>
      <w:r>
        <w:t>For Brazil, the localization question is secondary to the unresolved consent defect already identified in Section 4: until the consent form is amended to authorize transfer to the US repository at all, whether Brazilian law separately requires local retention of a copy is not yet the operative question. It is noted here so that the point is not lost once the consent issue is resolved.</w:t>
      </w:r>
    </w:p>
    <w:p>
      <w:r>
        <w:t>For South Korea, PIPA's transfer-mechanism requirement is what Section 3's pending transfer agreement is designed to satisfy under Section 9.2(b). Whether PIPA or another Korean statute additionally imposes a localization obligation on clinical trial data specifically (as opposed to a general cross-border transfer conditions regime) has not been researched as part of this assessment and is added here as an open item.</w:t>
      </w:r>
    </w:p>
    <w:p>
      <w:r>
        <w:t>For India, the consent ambiguity identified in Section 4 is the more immediate defect. Separately, and irrespective of how that ambiguity resolves, whether Indian law imposes a localization requirement on clinical trial subject data has not been confirmed and requires the same site counsel input already requested in Section 5 for the ethics committee record.</w:t>
      </w:r>
    </w:p>
    <w:p>
      <w:r>
        <w:t>None of the foregoing should be read as a finding that a localization requirement does or does not exist in any of the five jurisdictions; the point of this section is to identify localization as a research thread distinct from the transfer-mechanism analysis in Sections 3 and 4, and to flag that it remains open pending the same site-level materials — consent forms, ethics committee records, and site counsel confirmation — already requested elsewhere in this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