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Fairmont OEM Licence Agreement — First-Pass Revision</w:t>
      </w:r>
    </w:p>
    <w:p>
      <w:r>
        <w:t>Prepared by Oskar Ravndal, Associate, IP &amp; Technology. This revision incorporates the licence terms left open pending confirmation of ownership, now that ownership of the underlying IP has been confirmed per the Exhibit A / IP Schedule (doc-000109) and the Reviewer Memorandum (doc-000175, Section 6, Resolution of Reviewer Notes). No changes are made here to the license grant, fee, term, warranty, indemnity, or confidentiality provisions beyond what is expressly noted below; those provisions were previously confirmed not to require substantive change (doc-000113 revision note). Ownership is addressed definitively at Section 7 below.</w:t>
      </w:r>
    </w:p>
    <w:p>
      <w:pPr>
        <w:pStyle w:val="Heading2"/>
      </w:pPr>
      <w:r>
        <w:t>1. Drafting Status</w:t>
      </w:r>
    </w:p>
    <w:p>
      <w:r>
        <w:t>This draft advances the Fairmont OEM licence agreement from its prior open-items state. The following dependencies, previously blocking, are now resolved or qualified as stated:</w:t>
      </w:r>
    </w:p>
    <w:p>
      <w:pPr>
        <w:pStyle w:val="ListNumber"/>
      </w:pPr>
      <w:r>
        <w:t>Exhibit A (IP Schedule, doc-000109) is no longer a blocking dependency for this draft: Item 2's data-generation map issue and Item 3's trademark assignment registration status have been resolved per available context updates.</w:t>
      </w:r>
    </w:p>
    <w:p>
      <w:pPr>
        <w:pStyle w:val="ListNumber"/>
      </w:pPr>
      <w:r>
        <w:t>The Amended Schedule 3 SCC annex is drafted and incorporated by reference in Exhibit A, closing the prior EU collaborator SCC gap for purposes of this licence draft.</w:t>
      </w:r>
    </w:p>
    <w:p>
      <w:pPr>
        <w:pStyle w:val="ListNumber"/>
      </w:pPr>
      <w:r>
        <w:t>BAA/DPA qualification language in the licence body (Section 2.4) has been tightened to reflect the confirmed findings of the Reviewer Memorandum (doc-000175) rather than the earlier, more tentative characterization.</w:t>
      </w:r>
    </w:p>
    <w:p>
      <w:pPr>
        <w:pStyle w:val="ListNumber"/>
      </w:pPr>
      <w:r>
        <w:t>Trademark assignment registration remains open only as to closing instruction; the substantive registration-status finding is resolved and reflected in Section 3.2 below.</w:t>
      </w:r>
    </w:p>
    <w:p>
      <w:pPr>
        <w:pStyle w:val="ListNumber"/>
      </w:pPr>
      <w:r>
        <w:t>Ownership of the underlying IP is now definitively confirmed in writing: the firm retains pre-assignment rights, per Klara's confirmation. This is expressly incorporated into the licence body at Section 7 below, superseding the earlier general 'resolved via metadata correction' characterization.</w:t>
      </w:r>
    </w:p>
    <w:p>
      <w:pPr>
        <w:pStyle w:val="ListNumber"/>
      </w:pPr>
      <w:r>
        <w:t>Klara has now given a final, definitive answer on ownership and filing location; the home-forum filing location is confirmed and reflected at Section 3.3 below.</w:t>
      </w:r>
    </w:p>
    <w:p>
      <w:pPr>
        <w:pStyle w:val="Heading2"/>
      </w:pPr>
      <w:r>
        <w:t>2. Section 2.4 — Data Protection Qualification (Revised)</w:t>
      </w:r>
    </w:p>
    <w:p>
      <w:r>
        <w:t>Section 2.4 is revised to read: "Licensor represents that, as of the Effective Date, any Business Associate Agreement or Data Processing Agreement referenced in Exhibit A has been reviewed and its scope confirmed as adequate to cover the categories of data processed under this Agreement, except as specifically qualified in Exhibit A, Schedule A-B, Item 2. Licensee acknowledges that the LGPD standard contractual clause characterization referenced in the Reviewer Memorandum has been confirmed adequate for the EU collaborator sites listed in the Amended Schedule 3 SCC annex, and that no further SCC remediation is required as to those sites as of the date of this Agreement." This replaces the prior placeholder language, which had flagged DPA scope and LGPD SCC characterization as open pending reviewer sign-off — that sign-off is now recorded in doc-000175, Section 6.</w:t>
      </w:r>
    </w:p>
    <w:p>
      <w:pPr>
        <w:pStyle w:val="Heading2"/>
      </w:pPr>
      <w:r>
        <w:t>3. Section 3.2 — Trademark Assignment (Revised)</w:t>
      </w:r>
    </w:p>
    <w:p>
      <w:r>
        <w:t>Section 3.2 is revised to read: "Licensor confirms that the trademark assignment referenced in Exhibit A, Schedule A-B, Item 3 has been resolved as to registration status. Recordation of the assignment with the applicable trademark office remains outstanding and is a condition to Closing, to be satisfied per the closing instruction to be issued by Licensor's counsel." This narrows the prior open item to the single remaining step — closing instruction — consistent with the current status of Exhibit A.</w:t>
      </w:r>
    </w:p>
    <w:p>
      <w:pPr>
        <w:pStyle w:val="Heading2"/>
      </w:pPr>
      <w:r>
        <w:t>3.3 Home-Forum Filing Location (Confirmed)</w:t>
      </w:r>
    </w:p>
    <w:p>
      <w:r>
        <w:t>Klara has provided a final, definitive answer confirming ownership and the filing location for this licence. The licence draft is corrected accordingly to reflect the home-forum filing location. This confirmation resolves the multi-day back-and-forth on ownership and filing location referenced in Section 1 above; no further follow-up on this point is required for purposes of this draft.</w:t>
      </w:r>
    </w:p>
    <w:p>
      <w:pPr>
        <w:pStyle w:val="Heading2"/>
      </w:pPr>
      <w:r>
        <w:t>4. Open Items for Next Draft</w:t>
      </w:r>
    </w:p>
    <w:p>
      <w:pPr>
        <w:pStyle w:val="ListNumber"/>
      </w:pPr>
      <w:r>
        <w:t>Confirm final SCC annex execution status for the Ravenna module once negotiation concludes (tracked separately in the Cross-Border Clinical Data Transfer Assessment, doc-000213, Section 6).</w:t>
      </w:r>
    </w:p>
    <w:p>
      <w:pPr>
        <w:pStyle w:val="ListNumber"/>
      </w:pPr>
      <w:r>
        <w:t>Obtain and incorporate the trademark assignment closing instruction; update Section 3.2 accordingly once received.</w:t>
      </w:r>
    </w:p>
    <w:p>
      <w:pPr>
        <w:pStyle w:val="ListNumber"/>
      </w:pPr>
      <w:r>
        <w:t>Confirm the correct repository path and file owner for this draft and the associated redline and explanatory note, per the misfiling raised with repository administration; refile once confirmed.</w:t>
      </w:r>
    </w:p>
    <w:p>
      <w:pPr>
        <w:pStyle w:val="ListNumber"/>
      </w:pPr>
      <w:r>
        <w:t>Sandhurst exclusion finding for the related Cross-Border Clinical Data Transfer Assessment (doc-000213) remains open pending confirmation and basis from Priyanka; this is unrelated to the Fairmont OEM licence and does not bear on drafting sign-off for this document, but is tracked here for visibility given the shared underlying data-transfer analysis.</w:t>
      </w:r>
    </w:p>
    <w:p>
      <w:pPr>
        <w:pStyle w:val="ListNumber"/>
      </w:pPr>
      <w:r>
        <w:t>No open items remain as to license grant, ownership, fee, term, warranty, indemnity, or confidentiality provisions, or as to home-forum filing location; ownership, filing location, and the data annex have all been confirmed in writing.</w:t>
      </w:r>
    </w:p>
    <w:p>
      <w:pPr>
        <w:pStyle w:val="Heading2"/>
      </w:pPr>
      <w:r>
        <w:t>5. What the Agreement Says — Baseline Provisions Unchanged</w:t>
      </w:r>
    </w:p>
    <w:p>
      <w:r>
        <w:t>For the avoidance of doubt: Sections 1 (Grant of License), 5 (Fees), 6 (Term and Termination), 7 (Warranties) [prior draft numbering], 8 (Indemnification) [prior draft numbering], and 9 (Confidentiality) [prior draft numbering] of the prior draft are unchanged by this revision. This revision is limited to the data-protection qualification in Section 2.4, the trademark status in Section 3.2, the home-forum filing confirmation in Section 3.3, the definitive ownership confirmation in Section 7 below, and the IP schedule terms incorporated at Section 8 below, as identified above.</w:t>
      </w:r>
    </w:p>
    <w:p>
      <w:pPr>
        <w:pStyle w:val="Heading2"/>
      </w:pPr>
      <w:r>
        <w:t>7. Ownership — Definitive Confirmation</w:t>
      </w:r>
    </w:p>
    <w:p>
      <w:r>
        <w:t>Section 4 (Ownership) of the prior draft is confirmed, in writing, as follows: Licensor's firm retains pre-assignment rights in the underlying IP, per Klara's definitive confirmation. This supersedes the earlier general statement that ownership was 'resolved via metadata correction' and replaces it with the locked-in answer reached in today's Klara/Oskar exchange. This confirmation resolves the ownership dependency referenced throughout Sections 1 and 8 of this draft, and no further follow-up on ownership is required for purposes of this licence.</w:t>
      </w:r>
    </w:p>
    <w:p>
      <w:pPr>
        <w:pStyle w:val="Heading2"/>
      </w:pPr>
      <w:r>
        <w:t>8. Exhibit A / IP Schedule Terms — Incorporated into Licence Body</w:t>
      </w:r>
    </w:p>
    <w:p>
      <w:r>
        <w:t>With ownership of the underlying IP now definitively confirmed in writing per Section 7 above and per Exhibit A (doc-000109), the following IP schedule terms are incorporated into this licence draft:</w:t>
      </w:r>
    </w:p>
    <w:p>
      <w:pPr>
        <w:pStyle w:val="ListNumber"/>
      </w:pPr>
      <w:r>
        <w:t>Ownership Confirmation. Licensor confirms, consistent with Section 7 above, that all right, title, and interest in the licensed IP identified in Exhibit A, Schedule A-B is held by Licensor (the firm retaining pre-assignment rights), free of the ownership-status qualifications previously noted, resolving the ownership dependency that had blocked this draft pending confirmation.</w:t>
      </w:r>
    </w:p>
    <w:p>
      <w:pPr>
        <w:pStyle w:val="ListNumber"/>
      </w:pPr>
      <w:r>
        <w:t>Data-Generation Map (Item 2). The data-generation map issue identified in Exhibit A, Schedule A-B, Item 2 is resolved as reflected in the revised Section 2.4 qualification language above; no separate schedule amendment is required beyond the Amended Schedule 3 SCC annex already incorporated by reference.</w:t>
      </w:r>
    </w:p>
    <w:p>
      <w:pPr>
        <w:pStyle w:val="ListNumber"/>
      </w:pPr>
      <w:r>
        <w:t>Trademark Assignment (Item 3). The trademark assignment registration-status finding in Exhibit A, Schedule A-B, Item 3 is resolved as reflected in the revised Section 3.2 above, with recordation and closing instruction remaining as the sole outstanding step.</w:t>
      </w:r>
    </w:p>
    <w:p>
      <w:pPr>
        <w:pStyle w:val="ListNumber"/>
      </w:pPr>
      <w:r>
        <w:t>No further amendment to Exhibit A itself is required for purposes of this licence draft; Exhibit A is incorporated by reference in its current, advanced form as described in Section 1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