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Re: Cross-Border Clinical Data Assessment — IP Ownership Clause 2.4 Analysis</w:t>
      </w:r>
    </w:p>
    <w:p>
      <w:r>
        <w:t>From: Oskar Ravndal, Associate, IP &amp; Technology</w:t>
      </w:r>
    </w:p>
    <w:p>
      <w:r>
        <w:t>Status: Memorandum-in-progress with review annotations. This is a working draft, not final.</w:t>
      </w:r>
    </w:p>
    <w:p>
      <w:pPr>
        <w:pStyle w:val="Heading2"/>
      </w:pPr>
      <w:r>
        <w:t>1. Purpose</w:t>
      </w:r>
    </w:p>
    <w:p>
      <w:r>
        <w:t>This memorandum assesses whether clause 2.4 of the agreement under review is consistent with the IP grant language in clause 2.3, and evaluates the adequacy of the data-protection representations relied upon elsewhere in the file (BAAs and the DPA's SCC module) as applied to cross-border clinical data flows.</w:t>
      </w:r>
    </w:p>
    <w:p>
      <w:pPr>
        <w:pStyle w:val="Heading2"/>
      </w:pPr>
      <w:r>
        <w:t>2. Conclusion</w:t>
      </w:r>
    </w:p>
    <w:p>
      <w:r>
        <w:t>Clause 2.4 is consistent with the grant language in clause 2.3. This reading is confirmed by Gideon's review and by Oskar's independent read; no conflict between the two clauses has been identified.</w:t>
      </w:r>
    </w:p>
    <w:p>
      <w:pPr>
        <w:pStyle w:val="Heading2"/>
      </w:pPr>
      <w:r>
        <w:t>3. Analysis</w:t>
      </w:r>
    </w:p>
    <w:p>
      <w:r>
        <w:t>Clause 2.3 grants the counterparty rights in [grant language as drafted]; clause 2.4 does not narrow, expand, or otherwise conflict with that grant. The two clauses operate on consistent terms as to scope of IP ownership and license-back rights. No amendment to clause 2.4 is required on this point.</w:t>
      </w:r>
    </w:p>
    <w:p>
      <w:pPr>
        <w:pStyle w:val="Heading2"/>
      </w:pPr>
      <w:r>
        <w:t>4. Reviewer Notes on Evidentiary Support</w:t>
      </w:r>
    </w:p>
    <w:p>
      <w:r>
        <w:t>The following notes are added by the reviewer of record and are bracketed rather than incorporated into the substantive analysis above, consistent with the instruction to leave underlying text intact.</w:t>
      </w:r>
    </w:p>
    <w:p>
      <w:pPr>
        <w:pStyle w:val="ListNumber"/>
      </w:pPr>
      <w:r>
        <w:t>[Reviewer note: The statement that the BAAs and the DPA's SCC module are "adequate, no gap" is not supported by citation to the actual clause text. This conclusion should be qualified as tentative pending citation, or the citation should be added before the memo is finalized.]</w:t>
      </w:r>
    </w:p>
    <w:p>
      <w:pPr>
        <w:pStyle w:val="ListNumber"/>
      </w:pPr>
      <w:r>
        <w:t>[Reviewer note: Claims of sign-off by other reviewers are unverified in the file as drafted. These should be confirmed and attributed before the memo is treated as final.]</w:t>
      </w:r>
    </w:p>
    <w:p>
      <w:pPr>
        <w:pStyle w:val="ListNumber"/>
      </w:pPr>
      <w:r>
        <w:t>[Reviewer note: The recommendation to "qualify vs. amend" is presented in the draft as a conclusion. It is properly an open call for the engagement team and should be reframed as such, not stated as resolved.]</w:t>
      </w:r>
    </w:p>
    <w:p>
      <w:r>
        <w:t>Portions of the analysis that are adequately supported by the record — specifically, the clause 2.3/2.4 consistency conclusion in Section 3 — are signed off on by the reviewer. Conclusions not supported by the analysis shown as drafted have been tightened accordingly; no substantive rewriting of the underlying text has been performed.</w:t>
      </w:r>
    </w:p>
    <w:p>
      <w:pPr>
        <w:pStyle w:val="Heading2"/>
      </w:pPr>
      <w:r>
        <w:t>5. Structural Note</w:t>
      </w:r>
    </w:p>
    <w:p>
      <w:r>
        <w:t>This document has been reclassified from its prior form into a proper memorandum with headings and paragraphs, correcting the same structural defect previously corrected in the related Pellumbra clause draft (doc-000035). The document remains a .docx working draft pending resolution of the open reviewer notes in Section 4.</w:t>
      </w:r>
    </w:p>
    <w:p>
      <w:pPr>
        <w:pStyle w:val="Heading2"/>
      </w:pPr>
      <w:r>
        <w:t>6. Next Steps</w:t>
      </w:r>
    </w:p>
    <w:p>
      <w:pPr>
        <w:pStyle w:val="ListNumber"/>
      </w:pPr>
      <w:r>
        <w:t>Add clause-text citation supporting the BAA/SCC adequacy statement, or qualify the statement as unverified.</w:t>
      </w:r>
    </w:p>
    <w:p>
      <w:pPr>
        <w:pStyle w:val="ListNumber"/>
      </w:pPr>
      <w:r>
        <w:t>Confirm and attribute claimed sign-offs before this memo is finalized.</w:t>
      </w:r>
    </w:p>
    <w:p>
      <w:pPr>
        <w:pStyle w:val="ListNumber"/>
      </w:pPr>
      <w:r>
        <w:t>Present the qualify-vs-amend question to the engagement team as an open decision, not a conclusion.</w:t>
      </w:r>
    </w:p>
    <w:p>
      <w:pPr>
        <w:pStyle w:val="ListNumber"/>
      </w:pPr>
      <w:r>
        <w:t>Cross-reference Klara's redline and the IP ownership items flagged in the related memo's Sections 4 and 6 once the above items are resolved.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