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Research Memorandum</w:t>
      </w:r>
    </w:p>
    <w:p>
      <w:r>
        <w:t>Re: Cross-Border Clinical Data Transfer Issues — Pellumbra Matter</w:t>
      </w:r>
    </w:p>
    <w:p>
      <w:r>
        <w:t>Prepared by: Oskar Ravndal, Associate, IP &amp; Technology</w:t>
      </w:r>
    </w:p>
    <w:p>
      <w:r>
        <w:t>Status: Draft for reviewer comment (pending confirmation of Priyanka as reviewer, Klara as backup)</w:t>
      </w:r>
    </w:p>
    <w:p>
      <w:pPr>
        <w:pStyle w:val="Heading2"/>
      </w:pPr>
      <w:r>
        <w:t>1. Purpose</w:t>
      </w:r>
    </w:p>
    <w:p>
      <w:r>
        <w:t>This memorandum sets out the technical research undertaken during today's 13:30–14:30 research block in support of the pending Pellumbra dispute matter. It addresses the technology and data-handling questions raised by the cross-border clinical data transfer at issue, as a basis for the reviewer's assessment. It does not address the separate Fairmont OEM licence drafting workstream or the Sandhurst/Gideon reviewer close-out, both of which are recorded elsewhere (doc-000230, doc-000315, doc-000175).</w:t>
      </w:r>
    </w:p>
    <w:p>
      <w:pPr>
        <w:pStyle w:val="Heading2"/>
      </w:pPr>
      <w:r>
        <w:t>2. What the Agreement Says</w:t>
      </w:r>
    </w:p>
    <w:p>
      <w:r>
        <w:t>The Ravenna Collaboration Agreement governs the transfer of clinical trial data between the Ravenna entity and Pellumbra's research affiliate. The operative data transfer clause states, in relevant part, that data may be transferred outside the originating jurisdiction only where the receiving party has executed a data processing addendum incorporating standard contractual clauses, and where the transferring party has completed a documented transfer risk assessment prior to transfer. The agreement does not specify the form of that risk assessment, nor does it name a required methodology; it requires only that the assessment be 'documented' and completed 'prior to' transfer. This memorandum treats that requirement as the operative standard against which the technical facts below are measured.</w:t>
      </w:r>
    </w:p>
    <w:p>
      <w:pPr>
        <w:pStyle w:val="Heading2"/>
      </w:pPr>
      <w:r>
        <w:t>3. Technical Background</w:t>
      </w:r>
    </w:p>
    <w:p>
      <w:pPr>
        <w:pStyle w:val="ListBullet"/>
      </w:pPr>
      <w:r>
        <w:t>Clinical trial data at issue includes de-identified patient records, adverse event logs, and biomarker datasets generated at Ravenna's research sites.</w:t>
      </w:r>
    </w:p>
    <w:p>
      <w:pPr>
        <w:pStyle w:val="ListBullet"/>
      </w:pPr>
      <w:r>
        <w:t>Data is transferred via a managed SFTP channel to Pellumbra's data warehouse, hosted on infrastructure located in a jurisdiction without an adequacy determination from the originating jurisdiction's data protection authority.</w:t>
      </w:r>
    </w:p>
    <w:p>
      <w:pPr>
        <w:pStyle w:val="ListBullet"/>
      </w:pPr>
      <w:r>
        <w:t>De-identification is performed using a hash-based pseudonymization scheme; re-identification risk turns on whether the key-mapping table is itself transferred or retained solely by Ravenna.</w:t>
      </w:r>
    </w:p>
    <w:p>
      <w:pPr>
        <w:pStyle w:val="ListBullet"/>
      </w:pPr>
      <w:r>
        <w:t>No evidence reviewed to date indicates the key-mapping table was transferred; it appears to remain on Ravenna's internal systems.</w:t>
      </w:r>
    </w:p>
    <w:p>
      <w:pPr>
        <w:pStyle w:val="Heading2"/>
      </w:pPr>
      <w:r>
        <w:t>4. Analysis</w:t>
      </w:r>
    </w:p>
    <w:p>
      <w:r>
        <w:t>Retention of the key-mapping table by Ravenna, if confirmed, supports a characterization of the transferred dataset as anonymized rather than merely pseudonymized for purposes of the cross-border transfer restriction, which would narrow the scope of the documented-risk-assessment requirement in Section 2 above. This is a factual question, not a drafting one, and turns on system logs and access records that have been requested but not yet produced by Pellumbra's IT function.</w:t>
      </w:r>
    </w:p>
    <w:p>
      <w:r>
        <w:t>Independent of that factual question, the SFTP channel's absence of a signed data processing addendum with Pellumbra's data warehouse operator is, on the document, a gap against the clause quoted in Section 2. Whether that gap is remediable retroactively, or constitutes a present breach, is a legal question for the reviewing partner and is flagged rather than resolved here.</w:t>
      </w:r>
    </w:p>
    <w:p>
      <w:pPr>
        <w:pStyle w:val="Heading2"/>
      </w:pPr>
      <w:r>
        <w:t>5. Open Technical Items</w:t>
      </w:r>
    </w:p>
    <w:p>
      <w:pPr>
        <w:pStyle w:val="ListNumber"/>
      </w:pPr>
      <w:r>
        <w:t>Confirm, by system log production, whether the key-mapping table was transferred with the dataset or retained solely by Ravenna.</w:t>
      </w:r>
    </w:p>
    <w:p>
      <w:pPr>
        <w:pStyle w:val="ListNumber"/>
      </w:pPr>
      <w:r>
        <w:t>Confirm the jurisdiction and adequacy status of the data warehouse's actual hosting location, as distinct from Pellumbra's stated location.</w:t>
      </w:r>
    </w:p>
    <w:p>
      <w:pPr>
        <w:pStyle w:val="ListNumber"/>
      </w:pPr>
      <w:r>
        <w:t>Confirm whether any data processing addendum exists between Pellumbra and its data warehouse operator, executed or unexecuted.</w:t>
      </w:r>
    </w:p>
    <w:p>
      <w:pPr>
        <w:pStyle w:val="Heading2"/>
      </w:pPr>
      <w:r>
        <w:t>6. Relationship to Other Open Matters</w:t>
      </w:r>
    </w:p>
    <w:p>
      <w:r>
        <w:t>This memorandum is unrelated to the Sandhurst exclusion item, which is closed per Section 7 of the reviewer memorandum (doc-000175) with no open review points remaining on that file. It is also unrelated to the Fairmont OEM licence drafting, on which ownership is confirmed in writing per Section 7 of doc-000230 and the technology/IP schedule is closed per doc-000315. The reviewer assignment for this matter — Priyanka, with Klara as backup — remains pending written confirmation and is tracked separately from the technical analysis above.</w:t>
      </w:r>
    </w:p>
    <w:p>
      <w:pPr>
        <w:pStyle w:val="Heading2"/>
      </w:pPr>
      <w:r>
        <w:t>7. Next Steps</w:t>
      </w:r>
    </w:p>
    <w:p>
      <w:pPr>
        <w:pStyle w:val="ListBullet"/>
      </w:pPr>
      <w:r>
        <w:t>Request production of SFTP and access logs from Pellumbra's IT function to resolve Item 1 in Section 5.</w:t>
      </w:r>
    </w:p>
    <w:p>
      <w:pPr>
        <w:pStyle w:val="ListBullet"/>
      </w:pPr>
      <w:r>
        <w:t>Circulate to Priyanka on confirmation of her reviewer assignment; Klara as backup per today's escalation.</w:t>
      </w:r>
    </w:p>
    <w:p>
      <w:pPr>
        <w:pStyle w:val="ListBullet"/>
      </w:pPr>
      <w:r>
        <w:t>Hold drafting of any formal risk assessment conclusion pending resolution of the open technical items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