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Deal Team, Pellumbra / OEM License Negotiation</w:t>
      </w:r>
    </w:p>
    <w:p>
      <w:r>
        <w:t>From: Gideon Park, Partner, IP &amp; Technology Transactions</w:t>
      </w:r>
    </w:p>
    <w:p>
      <w:r>
        <w:t>Re: Fallback positions on OEM counterparty's uncapped indemnity demand — ahead of Friday deadline</w:t>
      </w:r>
    </w:p>
    <w:p>
      <w:r>
        <w:t>So the interesting problem here is that the OEM's current draft asks Pellumbra to indemnify for IP infringement, data breach, and product liability claims with no cap at all, while our standard position caps aggregate liability at the fees paid under the agreement. Walking away from the deal isn't a real option on the timeline we're on, and holding at 'capped, full stop' risks blowing past Friday without a signed term sheet. Below are three fallback positions, in the order I'd play them, each of which gives the OEM something real without giving away the store.</w:t>
      </w:r>
    </w:p>
    <w:p>
      <w:pPr>
        <w:pStyle w:val="Heading2"/>
      </w:pPr>
      <w:r>
        <w:t>Status Update — Patent Filing Deadline (Control-Loop Firmware)</w:t>
      </w:r>
    </w:p>
    <w:p>
      <w:r>
        <w:t>I confirmed the control-loop patent filing deadline against docketing this week, in response to Priyanka's status check. Docketing has it locked ahead of the OEM signing target, which matters here for two reasons. First, once that filing is made, the underlying firmware claims will have a public priority date, which firms up — rather than weakens — our footing on the willful-infringement carve-out in Option 1: we'll be able to point to an affirmatively filed, dated claim of ownership rather than an informal assertion of rights. Second, it bears on the Option 3 tail-risk window: if the filing lands on schedule, the 24-month claims-first-asserted period lines up cleanly with typical post-grant challenge timing, so I don't see a reason to move off that number, or below the 18-month floor, on account of the filing date. I'll flag to Priyanka if docketing slips, but as of now this doesn't change the sequencing below.</w:t>
      </w:r>
    </w:p>
    <w:p>
      <w:pPr>
        <w:pStyle w:val="Heading2"/>
      </w:pPr>
      <w:r>
        <w:t>Background</w:t>
      </w:r>
    </w:p>
    <w:p>
      <w:r>
        <w:t>The OEM license covers embedded control-loop firmware supplied to the counterparty for integration into its own hardware line. The counterparty's procurement counsel has taken the position — not unreasonably, for their industry — that IP infringement indemnities in component-supply agreements are customarily uncapped, since a defect or infringement in our firmware could force a recall of their finished product. We've resisted that framing because our firmware fees are a fraction of the value at stake if their downstream liability is uncapped and flows back to us dollar-for-dollar. The three options below assume both sides want this deal done and are looking for a defensible middle.</w:t>
      </w:r>
    </w:p>
    <w:p>
      <w:pPr>
        <w:pStyle w:val="Heading2"/>
      </w:pPr>
      <w:r>
        <w:t>Option 1 — Carve-Out Cap with a Multiplier (preferred fallback)</w:t>
      </w:r>
    </w:p>
    <w:p>
      <w:r>
        <w:t>Retain the general liability cap at 1x fees paid in the trailing 12 months, but carve out IP infringement claims specifically and cap those at 3x trailing-12-month fees, with no cap on our obligation to defend (not indemnify) claims arising from our own gross negligence or willful infringement. This gives the OEM materially more coverage on the risk they actually care about — a third-party patent claim reaching their finished product — without accepting open-ended exposure tied to their downstream liability, which we don't control and can't price.</w:t>
      </w:r>
    </w:p>
    <w:p>
      <w:pPr>
        <w:pStyle w:val="ListBullet"/>
      </w:pPr>
      <w:r>
        <w:t>Preserves the fee-based cap as the anchor for everything except IP claims</w:t>
      </w:r>
    </w:p>
    <w:p>
      <w:pPr>
        <w:pStyle w:val="ListBullet"/>
      </w:pPr>
      <w:r>
        <w:t>3x multiplier is a real number we can defend as proportionate to license fees, not a token gesture</w:t>
      </w:r>
    </w:p>
    <w:p>
      <w:pPr>
        <w:pStyle w:val="ListBullet"/>
      </w:pPr>
      <w:r>
        <w:t>Willful-infringement carve-out from the cap (but not from the cap on ordinary infringement) signals good faith without accepting true uncapped exposure</w:t>
      </w:r>
    </w:p>
    <w:p>
      <w:pPr>
        <w:pStyle w:val="ListBullet"/>
      </w:pPr>
      <w:r>
        <w:t>Precedent: this mirrors the structure we used on the Halden component-supply agreement, which closed on similar terms</w:t>
      </w:r>
    </w:p>
    <w:p>
      <w:pPr>
        <w:pStyle w:val="ListBullet"/>
      </w:pPr>
      <w:r>
        <w:t>Confirmed control-loop filing timing supports this carve-out with a documented priority date rather than an informal ownership claim</w:t>
      </w:r>
    </w:p>
    <w:p>
      <w:pPr>
        <w:pStyle w:val="Heading2"/>
      </w:pPr>
      <w:r>
        <w:t>Option 2 — Insurance-Backed Uncapped Layer</w:t>
      </w:r>
    </w:p>
    <w:p>
      <w:r>
        <w:t>Agree to an uncapped indemnity for IP infringement claims, but condition it on Pellumbra maintaining tech E&amp;O / IP infringement coverage of at least $10M per occurrence, with the OEM named as an additional insured and the indemnity obligation capped at the greater of (a) available insurance proceeds or (b) 2x fees paid, whichever is higher at the time of claim. This is the position to use if the OEM's procurement team is immovable on the word 'uncapped' appearing somewhere in the document — it lets them have the word while the actual dollar exposure is bounded by a policy limit we control and can verify.</w:t>
      </w:r>
    </w:p>
    <w:p>
      <w:pPr>
        <w:pStyle w:val="ListBullet"/>
      </w:pPr>
      <w:r>
        <w:t>Requires confirming with Pellumbra's risk/insurance contact that current E&amp;O coverage meets or can be increased to the $10M threshold before we offer this — do not offer without that confirmation</w:t>
      </w:r>
    </w:p>
    <w:p>
      <w:pPr>
        <w:pStyle w:val="ListBullet"/>
      </w:pPr>
      <w:r>
        <w:t>OEM gets 'uncapped' language for their internal sign-off; we get a hard ceiling in practice</w:t>
      </w:r>
    </w:p>
    <w:p>
      <w:pPr>
        <w:pStyle w:val="ListBullet"/>
      </w:pPr>
      <w:r>
        <w:t>Slower to close if coverage needs to be increased — flag this timing risk to the business team now, not Friday afternoon</w:t>
      </w:r>
    </w:p>
    <w:p>
      <w:pPr>
        <w:pStyle w:val="Heading2"/>
      </w:pPr>
      <w:r>
        <w:t>Option 3 — Time-Boxed Uncapped Exposure</w:t>
      </w:r>
    </w:p>
    <w:p>
      <w:r>
        <w:t>If neither of the above lands, the last position I'd take before escalating past Friday is an uncapped indemnity limited to claims first asserted within 24 months of delivery, reverting to the standard 1x fee cap thereafter. This is the weakest fallback from our side — it accepts real uncapped exposure — but it bounds the tail risk that's hardest to price: infringement claims surfacing years after the firmware has been integrated into products we no longer control or can inspect. I would not go below 18 months on the window, and I would insist on a corresponding cap on damages types (direct damages only, no consequential or lost-profits pass-through) as the price of any uncapped period at all.</w:t>
      </w:r>
    </w:p>
    <w:p>
      <w:pPr>
        <w:pStyle w:val="ListBullet"/>
      </w:pPr>
      <w:r>
        <w:t>Only offer this if Options 1 and 2 are both rejected — do not lead with it</w:t>
      </w:r>
    </w:p>
    <w:p>
      <w:pPr>
        <w:pStyle w:val="ListBullet"/>
      </w:pPr>
      <w:r>
        <w:t>Must be paired with exclusion of consequential and lost-profit damages, or the uncapped exposure becomes genuinely unbounded in practice</w:t>
      </w:r>
    </w:p>
    <w:p>
      <w:pPr>
        <w:pStyle w:val="ListBullet"/>
      </w:pPr>
      <w:r>
        <w:t>24-month window tracks typical patent-claim discovery timelines in this sector; 18 months is the floor I'd accept</w:t>
      </w:r>
    </w:p>
    <w:p>
      <w:pPr>
        <w:pStyle w:val="ListBullet"/>
      </w:pPr>
      <w:r>
        <w:t>Confirmed filing deadline against docketing supports keeping this window at 24 months rather than shortening it</w:t>
      </w:r>
    </w:p>
    <w:p>
      <w:pPr>
        <w:pStyle w:val="Heading2"/>
      </w:pPr>
      <w:r>
        <w:t>Recommendation and Timing</w:t>
      </w:r>
    </w:p>
    <w:p>
      <w:r>
        <w:t>Lead with Option 1 in Thursday's redline. It's the cleanest to explain, doesn't require insurance verification we haven't completed, and gives the OEM a real concession on the claim category that's actually driving their position. Hold Option 2 in reserve if their counsel won't move off 'uncapped' as a matter of internal policy. I want Option 3 kept out of any written draft until we've heard their response to Option 1 — once we put an uncapped number in writing, even time-boxed, it's very hard to walk back, and I'd rather lose a day than lose that leverage.</w:t>
      </w:r>
    </w:p>
    <w:p>
      <w:r>
        <w:t>I'm available all day Thursday and Friday morning to join the call directly if procurement counsel wants to hear the insurance mechanics of Option 2 from me rather than relayed secondhand.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