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Cross-Border Clinical Data Transfer Assessment — Preliminary Findings</w:t>
      </w:r>
    </w:p>
    <w:p>
      <w:r>
        <w:t>This memorandum continues the assessment addressed in prior drafting sessions. This section addresses Section 8, data localization requirements, building on the jurisdictional survey in Section 3 (Germany, Poland, Brazil, South Korea, India) and the transfer-mechanism obligation set out at CTA Section 9.2.</w:t>
      </w:r>
    </w:p>
    <w:p>
      <w:pPr>
        <w:pStyle w:val="Heading2"/>
      </w:pPr>
      <w:r>
        <w:t>Section 9.2 — What the Agreement Says</w:t>
      </w:r>
    </w:p>
    <w:p>
      <w:r>
        <w:t>Section 9.2 of the Clinical Trial Agreement provides that any transfer of clinical trial personal data outside the country in which it was collected requires an approved transfer mechanism consistent with the data protection law of the country of collection, and that the CRO 'shall not transfer, store, or process such data in a jurisdiction other than the jurisdiction of collection without Sponsor's prior written consent.' That consent requirement is the operative constraint against which each jurisdiction's localization posture below must be read: even where local law permits an adequacy-based or standard-contractual-clause transfer, Section 9.2 independently requires Sponsor consent before the CRO may rely on it.</w:t>
      </w:r>
    </w:p>
    <w:p>
      <w:pPr>
        <w:pStyle w:val="Heading2"/>
      </w:pPr>
      <w:r>
        <w:t>Section 8 — Data Localization Requirements (Preliminary Research)</w:t>
      </w:r>
    </w:p>
    <w:p>
      <w:pPr>
        <w:pStyle w:val="Heading3"/>
      </w:pPr>
      <w:r>
        <w:t>8.1 Germany</w:t>
      </w:r>
    </w:p>
    <w:p>
      <w:r>
        <w:t>Germany applies the GDPR directly, together with the Federal Data Protection Act (BDSG). There is no general statutory data-residency requirement for clinical trial data; transfers within the EEA are unrestricted, and transfers to third countries require an Article 46 mechanism (typically Standard Contractual Clauses) absent an adequacy decision. Sector-specific guidance from German data protection authorities on health data sometimes recommends, but does not mandate, EU-based hosting for sensitive health data processed by public-sector-adjacent research bodies. Open question: whether any site agreement with the German trial site imposes a contractual (not statutory) EU-hosting requirement that would be stricter than GDPR itself — this has not been confirmed and requires the site agreement.</w:t>
      </w:r>
    </w:p>
    <w:p>
      <w:pPr>
        <w:pStyle w:val="Heading3"/>
      </w:pPr>
      <w:r>
        <w:t>8.2 Poland</w:t>
      </w:r>
    </w:p>
    <w:p>
      <w:r>
        <w:t>As an EU/EEA member state, Poland's localization posture mirrors Germany's under the GDPR framework; no independent Polish statutory localization requirement for clinical data has been identified in the research to date. Open question: local counsel confirmation that no sector-specific Polish health-data law imposes additional residency conditions beyond GDPR.</w:t>
      </w:r>
    </w:p>
    <w:p>
      <w:pPr>
        <w:pStyle w:val="Heading3"/>
      </w:pPr>
      <w:r>
        <w:t>8.3 Brazil</w:t>
      </w:r>
    </w:p>
    <w:p>
      <w:r>
        <w:t>Brazil's LGPD (Lei Geral de Proteção de Dados) does not impose a general data localization mandate; international transfers are permitted via adequacy determination, standard contractual clauses, or specific consent, mechanisms broadly analogous to GDPR Chapter V. However, Brazilian health regulatory practice (ANVISA-adjacent guidance for clinical research) has in some contexts required that source documents and certain original records remain retrievable within Brazil, which is a records-retention constraint rather than a data-localization rule in the LGPD sense. This distinction has not yet been confirmed against the specific Brazilian site's regulatory submissions and should not be treated as settled.</w:t>
      </w:r>
    </w:p>
    <w:p>
      <w:pPr>
        <w:pStyle w:val="Heading3"/>
      </w:pPr>
      <w:r>
        <w:t>8.4 South Korea</w:t>
      </w:r>
    </w:p>
    <w:p>
      <w:r>
        <w:t>South Korea's Personal Information Protection Act (PIPA) permits cross-border transfer subject to consent or an approved mechanism, and does not impose blanket localization for clinical data generally. Separately, Korea's bioethics and safety framework has historically restricted export of human genomic data absent government approval; whether this trial generates genomic data subject to that separate restriction has not been confirmed and is flagged as an open item — it is a materially different question from PIPA's general transfer rules and should not be conflated with them.</w:t>
      </w:r>
    </w:p>
    <w:p>
      <w:pPr>
        <w:pStyle w:val="Heading3"/>
      </w:pPr>
      <w:r>
        <w:t>8.5 India</w:t>
      </w:r>
    </w:p>
    <w:p>
      <w:r>
        <w:t>India's Digital Personal Data Protection Act, 2023 (DPDPA) permits cross-border transfer of personal data except to countries restricted by central government notification; no such notification affecting the relevant transfer corridor has been identified to date, but the DPDPA's implementing rules were not final as of the last research pass and the rules could impose sector-specific conditions on health data transfers. Separately, India's clinical trial regulations (under the New Drugs and Clinical Trials Rules) have historically required that certain trial-related records be maintained and available for inspection within India; again, this is a records-availability point, not confirmation of a data-localization rule under the DPDPA itself.</w:t>
      </w:r>
    </w:p>
    <w:p>
      <w:pPr>
        <w:pStyle w:val="Heading2"/>
      </w:pPr>
      <w:r>
        <w:t>8.6 Open Items — Data Localization</w:t>
      </w:r>
    </w:p>
    <w:p>
      <w:pPr>
        <w:pStyle w:val="ListNumber"/>
      </w:pPr>
      <w:r>
        <w:t>Germany/Poland: confirm whether the site agreements impose contractual EU-hosting terms stricter than GDPR (site agreements not yet reviewed).</w:t>
      </w:r>
    </w:p>
    <w:p>
      <w:pPr>
        <w:pStyle w:val="ListNumber"/>
      </w:pPr>
      <w:r>
        <w:t>Brazil: confirm with local counsel whether ANVISA-adjacent source-document retention practice functions as a de facto localization constraint on this trial's data flows.</w:t>
      </w:r>
    </w:p>
    <w:p>
      <w:pPr>
        <w:pStyle w:val="ListNumber"/>
      </w:pPr>
      <w:r>
        <w:t>South Korea: confirm whether the trial generates genomic data subject to the separate bioethics-framework export restriction, and if so, whether government approval has been or must be obtained.</w:t>
      </w:r>
    </w:p>
    <w:p>
      <w:pPr>
        <w:pStyle w:val="ListNumber"/>
      </w:pPr>
      <w:r>
        <w:t>India: confirm final DPDPA implementing rules as adopted, and confirm whether trial-record availability requirements under the Clinical Trials Rules restrict the CRO's ability to process data outside India notwithstanding Section 9.2 consent.</w:t>
      </w:r>
    </w:p>
    <w:p>
      <w:pPr>
        <w:pStyle w:val="ListNumber"/>
      </w:pPr>
      <w:r>
        <w:t>All jurisdictions: none of the foregoing localization analysis relieves the CRO of the independent Section 9.2 requirement of Sponsor's prior written consent to any transfer outside the country of collection; that consent question remains separately unresolved per Section 7 of the related assessment memorandum.</w:t>
      </w:r>
    </w:p>
    <w:p>
      <w:r>
        <w:t>No further sections are added at this time. This research thread remains preliminary pending local-counsel confirmation in each jurisdiction listed above and remains cross-referenced against the outstanding Section 7 blockers, including the pending Priyanka Sandhurst clearance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