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 Ravenna Collaboration Agreement</w:t>
            </w:r>
          </w:p>
        </w:tc>
      </w:tr>
      <w:tr>
        <w:tc>
          <w:tcPr>
            <w:tcW w:type="dxa" w:w="4320"/>
          </w:tcPr>
          <w:p>
            <w:r>
              <w:t>From</w:t>
            </w:r>
          </w:p>
        </w:tc>
        <w:tc>
          <w:tcPr>
            <w:tcW w:type="dxa" w:w="4320"/>
          </w:tcPr>
          <w:p>
            <w:r>
              <w:t>Oskar Ravndal, Associate</w:t>
            </w:r>
          </w:p>
        </w:tc>
      </w:tr>
      <w:tr>
        <w:tc>
          <w:tcPr>
            <w:tcW w:type="dxa" w:w="4320"/>
          </w:tcPr>
          <w:p>
            <w:r>
              <w:t>Re</w:t>
            </w:r>
          </w:p>
        </w:tc>
        <w:tc>
          <w:tcPr>
            <w:tcW w:type="dxa" w:w="4320"/>
          </w:tcPr>
          <w:p>
            <w:r>
              <w:t>Section 4 cross-border clinical data issues — status and open items</w:t>
            </w:r>
          </w:p>
        </w:tc>
      </w:tr>
    </w:tbl>
    <w:p>
      <w:pPr>
        <w:pStyle w:val="Heading2"/>
      </w:pPr>
      <w:r>
        <w:t>1. What the agreement says</w:t>
      </w:r>
    </w:p>
    <w:p>
      <w:r>
        <w:t>Section 4.1 of the Collaboration Agreement provides: "Each Party shall process Clinical Data generated under this Agreement solely within the territory in which it was collected, unless the transferring Party has obtained a Data Transfer Authorization from the other Party's designated Data Protection Officer prior to transfer." Section 4.3 further provides: "A Party receiving Clinical Data from outside its home territory shall, within thirty (30) days of receipt, provide the transferring Party with written confirmation of the safeguards implemented under Section 4.2."</w:t>
      </w:r>
    </w:p>
    <w:p>
      <w:r>
        <w:t>Section 4.2 lists the required safeguards as: (i) execution of Standard Contractual Clauses in the form attached as Exhibit D; (ii) a data protection impact assessment completed no more than twelve (12) months prior to transfer; and (iii) designation of a local representative in the recipient jurisdiction where required by applicable law.</w:t>
      </w:r>
    </w:p>
    <w:p>
      <w:pPr>
        <w:pStyle w:val="Heading2"/>
      </w:pPr>
      <w:r>
        <w:t>2. Where the issue stands</w:t>
      </w:r>
    </w:p>
    <w:p>
      <w:r>
        <w:t>Ravenna transferred a clinical dataset from its EU trial sites to Pellumbra's US-based analytics team on a rolling basis beginning in Q2. No Data Transfer Authorization was requested or issued before those transfers began. Ravenna's position, communicated informally, is that the Section 4.1 authorization requirement does not apply to "internal collaboration data sharing" as opposed to third-party disclosure. The agreement does not draw that distinction — Section 4.1 refers to transfer between "the Parties" without qualification, and Section 4.2's safeguards are keyed to any transfer outside the originating territory, not to third-party disclosure specifically.</w:t>
      </w:r>
    </w:p>
    <w:p>
      <w:r>
        <w:t>No written confirmation of Section 4.2 safeguards has been received from Pellumbra's analytics team as recipient, and more than thirty days have elapsed since the earliest transfers. This places Pellumbra in the position of both requesting a retroactive fix and being independently out of compliance with its own confirmation obligation as recipient under Section 4.3.</w:t>
      </w:r>
    </w:p>
    <w:p>
      <w:pPr>
        <w:pStyle w:val="Heading2"/>
      </w:pPr>
      <w:r>
        <w:t>3. Open items</w:t>
      </w:r>
    </w:p>
    <w:p>
      <w:pPr>
        <w:pStyle w:val="ListNumber"/>
      </w:pPr>
      <w:r>
        <w:t>Confirm whether Ravenna's data protection officer will execute retroactive Data Transfer Authorizations for transfers already made, or whether the Parties need a written waiver/amendment instead.</w:t>
      </w:r>
    </w:p>
    <w:p>
      <w:pPr>
        <w:pStyle w:val="ListNumber"/>
      </w:pPr>
      <w:r>
        <w:t>Obtain from Pellumbra's analytics team the DPIA referenced in Section 4.2(ii); confirm date completed and whether it falls within the twelve-month window measured from the earliest transfer, not from today.</w:t>
      </w:r>
    </w:p>
    <w:p>
      <w:pPr>
        <w:pStyle w:val="ListNumber"/>
      </w:pPr>
      <w:r>
        <w:t>Determine whether a local representative designation under Section 4.2(iii) is required for the US recipient under EU law as applied to this transfer, and if so, whether one has been named.</w:t>
      </w:r>
    </w:p>
    <w:p>
      <w:pPr>
        <w:pStyle w:val="ListNumber"/>
      </w:pPr>
      <w:r>
        <w:t>Send Pellumbra's own Section 4.3 confirmation to Ravenna — currently overdue — once items 2 and 3 are resolved, or under a reservation of rights if Ravenna's authorization issue is unresolved by the time we send it.</w:t>
      </w:r>
    </w:p>
    <w:p>
      <w:pPr>
        <w:pStyle w:val="ListNumber"/>
      </w:pPr>
      <w:r>
        <w:t>Get Klara's confirmation on the Section 4 read before any of the above goes out, per her outstanding request.</w:t>
      </w:r>
    </w:p>
    <w:p>
      <w:pPr>
        <w:pStyle w:val="Heading2"/>
      </w:pPr>
      <w:r>
        <w:t>4. Recommendation</w:t>
      </w:r>
    </w:p>
    <w:p>
      <w:r>
        <w:t>Do not characterize the rolling transfers as compliant pending Ravenna's response. The agreement's language does not support a carve-out for intra-collaboration sharing, and treating it as compliant now would make it harder to argue non-waiver later if Ravenna's DPO declines retroactive authorization. Send a short written note to Ravenna's counsel identifying the Section 4.1 and 4.3 gaps and proposing a 10-business-day window to cure via retroactive DTA, before further transfers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