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 — Pellumbra / Ravenna Collaboration Agreement</w:t>
      </w:r>
    </w:p>
    <w:p>
      <w:r>
        <w:t>From: Gideon Park</w:t>
      </w:r>
    </w:p>
    <w:p>
      <w:r>
        <w:t>Re: Control-Loop Trade Secret Walkout — Preliminary Scope and Immediate Protective Steps</w:t>
      </w:r>
    </w:p>
    <w:p>
      <w:r>
        <w:t>This memorandum records the scope confirmed with Priyanka Deshmukh regarding the departure of engineering personnel associated with the control-loop firmware workstream, and sets out the immediate steps the team should take while facts are still being gathered. It is a working document, not a final assessment of misappropriation, and should be treated as attorney work product prepared in anticipation of litigation.</w:t>
      </w:r>
    </w:p>
    <w:p>
      <w:pPr>
        <w:pStyle w:val="Heading2"/>
      </w:pPr>
      <w:r>
        <w:t>1. Background</w:t>
      </w:r>
    </w:p>
    <w:p>
      <w:r>
        <w:t>Pellumbra and Ravenna are parties to a collaboration agreement under which Pellumbra's control-loop engineering group has had access to Ravenna's proprietary tuning algorithms and calibration data sets. We were notified that two members of that group departed Pellumbra within the same ten-day window to join a competitor. Priyanka Deshmukh, who oversees the engineering side of the collaboration, flagged unusual data transfer activity from one departing employee's workstation in the two weeks preceding resignation. The purpose of the call with Priyanka was to confirm what we currently know, what we do not yet know, and what can be done immediately without overreaching before the facts are developed.</w:t>
      </w:r>
    </w:p>
    <w:p>
      <w:pPr>
        <w:pStyle w:val="Heading2"/>
      </w:pPr>
      <w:r>
        <w:t>2. Scope Confirmed with Priyanka Deshmukh</w:t>
      </w:r>
    </w:p>
    <w:p>
      <w:pPr>
        <w:pStyle w:val="ListBullet"/>
      </w:pPr>
      <w:r>
        <w:t>The scope is limited, for now, to the two departed employees and their direct managers — not a company-wide sweep.</w:t>
      </w:r>
    </w:p>
    <w:p>
      <w:pPr>
        <w:pStyle w:val="ListBullet"/>
      </w:pPr>
      <w:r>
        <w:t>IT has preserved forensic images of both departing employees' laptops and cloud storage accounts as of the date of departure; no further access to those devices should occur outside of a controlled forensic process.</w:t>
      </w:r>
    </w:p>
    <w:p>
      <w:pPr>
        <w:pStyle w:val="ListBullet"/>
      </w:pPr>
      <w:r>
        <w:t>Priyanka will identify the specific control-loop repositories, model files, and calibration data sets those employees had access to, cross-referenced against the confidentiality schedule in the Ravenna collaboration agreement.</w:t>
      </w:r>
    </w:p>
    <w:p>
      <w:pPr>
        <w:pStyle w:val="ListBullet"/>
      </w:pPr>
      <w:r>
        <w:t>We have not yet confirmed the destination employer's knowledge of any transfer, and no accusatory communication should go to the new employer until we have more than access logs.</w:t>
      </w:r>
    </w:p>
    <w:p>
      <w:pPr>
        <w:pStyle w:val="ListBullet"/>
      </w:pPr>
      <w:r>
        <w:t>Any interviews of remaining employees should be conducted by counsel, not by the engineering team directly, to preserve privilege over the substance of what is learned.</w:t>
      </w:r>
    </w:p>
    <w:p>
      <w:pPr>
        <w:pStyle w:val="Heading2"/>
      </w:pPr>
      <w:r>
        <w:t>3. What We Know So Far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Status</w:t>
            </w:r>
          </w:p>
        </w:tc>
        <w:tc>
          <w:tcPr>
            <w:tcW w:type="dxa" w:w="2880"/>
          </w:tcPr>
          <w:p>
            <w:r>
              <w:t>Source</w:t>
            </w:r>
          </w:p>
        </w:tc>
      </w:tr>
      <w:tr>
        <w:tc>
          <w:tcPr>
            <w:tcW w:type="dxa" w:w="2880"/>
          </w:tcPr>
          <w:p>
            <w:r>
              <w:t>Departing employee A — data transfer to personal cloud storage in final two weeks</w:t>
            </w:r>
          </w:p>
        </w:tc>
        <w:tc>
          <w:tcPr>
            <w:tcW w:type="dxa" w:w="2880"/>
          </w:tcPr>
          <w:p>
            <w:r>
              <w:t>Confirmed by network logs</w:t>
            </w:r>
          </w:p>
        </w:tc>
        <w:tc>
          <w:tcPr>
            <w:tcW w:type="dxa" w:w="2880"/>
          </w:tcPr>
          <w:p>
            <w:r>
              <w:t>IT security export, reviewed with Priyanka</w:t>
            </w:r>
          </w:p>
        </w:tc>
      </w:tr>
      <w:tr>
        <w:tc>
          <w:tcPr>
            <w:tcW w:type="dxa" w:w="2880"/>
          </w:tcPr>
          <w:p>
            <w:r>
              <w:t>Departing employee B — no anomalous transfer activity detected</w:t>
            </w:r>
          </w:p>
        </w:tc>
        <w:tc>
          <w:tcPr>
            <w:tcW w:type="dxa" w:w="2880"/>
          </w:tcPr>
          <w:p>
            <w:r>
              <w:t>Confirmed absence of activity, subject to forensic image review</w:t>
            </w:r>
          </w:p>
        </w:tc>
        <w:tc>
          <w:tcPr>
            <w:tcW w:type="dxa" w:w="2880"/>
          </w:tcPr>
          <w:p>
            <w:r>
              <w:t>IT security export</w:t>
            </w:r>
          </w:p>
        </w:tc>
      </w:tr>
      <w:tr>
        <w:tc>
          <w:tcPr>
            <w:tcW w:type="dxa" w:w="2880"/>
          </w:tcPr>
          <w:p>
            <w:r>
              <w:t>Files transferred include control-loop tuning parameter sets</w:t>
            </w:r>
          </w:p>
        </w:tc>
        <w:tc>
          <w:tcPr>
            <w:tcW w:type="dxa" w:w="2880"/>
          </w:tcPr>
          <w:p>
            <w:r>
              <w:t>Preliminary — file names suggest this, contents not yet reviewed</w:t>
            </w:r>
          </w:p>
        </w:tc>
        <w:tc>
          <w:tcPr>
            <w:tcW w:type="dxa" w:w="2880"/>
          </w:tcPr>
          <w:p>
            <w:r>
              <w:t>IT security export (metadata only)</w:t>
            </w:r>
          </w:p>
        </w:tc>
      </w:tr>
      <w:tr>
        <w:tc>
          <w:tcPr>
            <w:tcW w:type="dxa" w:w="2880"/>
          </w:tcPr>
          <w:p>
            <w:r>
              <w:t>New employer's awareness of transferred material</w:t>
            </w:r>
          </w:p>
        </w:tc>
        <w:tc>
          <w:tcPr>
            <w:tcW w:type="dxa" w:w="2880"/>
          </w:tcPr>
          <w:p>
            <w:r>
              <w:t>Unknown</w:t>
            </w:r>
          </w:p>
        </w:tc>
        <w:tc>
          <w:tcPr>
            <w:tcW w:type="dxa" w:w="2880"/>
          </w:tcPr>
          <w:p>
            <w:r>
              <w:t>N/A</w:t>
            </w:r>
          </w:p>
        </w:tc>
      </w:tr>
      <w:tr>
        <w:tc>
          <w:tcPr>
            <w:tcW w:type="dxa" w:w="2880"/>
          </w:tcPr>
          <w:p>
            <w:r>
              <w:t>Whether transferred files are within Ravenna's confidentiality schedule or Pellumbra's own IP</w:t>
            </w:r>
          </w:p>
        </w:tc>
        <w:tc>
          <w:tcPr>
            <w:tcW w:type="dxa" w:w="2880"/>
          </w:tcPr>
          <w:p>
            <w:r>
              <w:t>Unknown — requires legal review against the collaboration agreement's IP allocation provisions</w:t>
            </w:r>
          </w:p>
        </w:tc>
        <w:tc>
          <w:tcPr>
            <w:tcW w:type="dxa" w:w="2880"/>
          </w:tcPr>
          <w:p>
            <w:r>
              <w:t>To be determined</w:t>
            </w:r>
          </w:p>
        </w:tc>
      </w:tr>
    </w:tbl>
    <w:p>
      <w:pPr>
        <w:pStyle w:val="Heading2"/>
      </w:pPr>
      <w:r>
        <w:t>4. Immediate Protective Steps</w:t>
      </w:r>
    </w:p>
    <w:p>
      <w:pPr>
        <w:pStyle w:val="ListNumber"/>
      </w:pPr>
      <w:r>
        <w:t>Issue a litigation hold notice to both departing employees' former teams and to IT, covering all devices, cloud accounts, and communications related to the control-loop workstream, effective immediately.</w:t>
      </w:r>
    </w:p>
    <w:p>
      <w:pPr>
        <w:pStyle w:val="ListNumber"/>
      </w:pPr>
      <w:r>
        <w:t>Retain a forensic vendor to conduct a chain-of-custody-preserving review of the imaged devices; do not permit internal IT to open or run analysis on the images beyond what has already been logged.</w:t>
      </w:r>
    </w:p>
    <w:p>
      <w:pPr>
        <w:pStyle w:val="ListNumber"/>
      </w:pPr>
      <w:r>
        <w:t>Send exit-obligation reminder letters to both departed employees referencing their confidentiality and invention-assignment agreements, without accusing them of specific conduct.</w:t>
      </w:r>
    </w:p>
    <w:p>
      <w:pPr>
        <w:pStyle w:val="ListNumber"/>
      </w:pPr>
      <w:r>
        <w:t>Confirm with Priyanka which specific data sets are covered by Ravenna's confidentiality terms versus Pellumbra's own proprietary material, since our obligations to Ravenna under the collaboration agreement may require notice to Ravenna if their data is implicated.</w:t>
      </w:r>
    </w:p>
    <w:p>
      <w:pPr>
        <w:pStyle w:val="ListNumber"/>
      </w:pPr>
      <w:r>
        <w:t>Hold off on any contact with the new employer until the forensic review of transferred file contents (not just file names) is complete.</w:t>
      </w:r>
    </w:p>
    <w:p>
      <w:pPr>
        <w:pStyle w:val="Heading2"/>
      </w:pPr>
      <w:r>
        <w:t>5. Open Questions for Next Session with Priyanka</w:t>
      </w:r>
    </w:p>
    <w:p>
      <w:pPr>
        <w:pStyle w:val="ListBullet"/>
      </w:pPr>
      <w:r>
        <w:t>Does the collaboration agreement's confidentiality schedule require Pellumbra to notify Ravenna of a suspected breach involving Ravenna-origin data, and on what timeline?</w:t>
      </w:r>
    </w:p>
    <w:p>
      <w:pPr>
        <w:pStyle w:val="ListBullet"/>
      </w:pPr>
      <w:r>
        <w:t>What is the actual technical content of the transferred files — are these Ravenna's tuning algorithms, Pellumbra's own derivative work, or a blend that will complicate any trade secret claim?</w:t>
      </w:r>
    </w:p>
    <w:p>
      <w:pPr>
        <w:pStyle w:val="ListBullet"/>
      </w:pPr>
      <w:r>
        <w:t>Is there a non-compete or non-solicit provision applicable to either departed employee, and does Halden's Renwick matter offer any useful analogy on enforceability in this jurisdiction?</w:t>
      </w:r>
    </w:p>
    <w:p>
      <w:pPr>
        <w:pStyle w:val="ListBullet"/>
      </w:pPr>
      <w:r>
        <w:t>Should we anticipate a temporary restraining order application, and if so, what evidentiary record do we need assembled in the next five business days?</w:t>
      </w:r>
    </w:p>
    <w:p>
      <w:r>
        <w:t>So the interesting problem here is that the file names alone tell us activity occurred but not yet whose secret, if anyone's, was taken — Ravenna's, Pellumbra's, or both blended together in a way the collaboration agreement did not anticipate. We should not characterize this to anyone outside the immediate team as misappropriation until the forensic content review is in hand. Next update to follow once the vendor's initial pass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