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 Ravenna Collaboration Matter</w:t>
            </w:r>
          </w:p>
        </w:tc>
      </w:tr>
      <w:tr>
        <w:tc>
          <w:tcPr>
            <w:tcW w:type="dxa" w:w="4320"/>
          </w:tcPr>
          <w:p>
            <w:r>
              <w:t>From</w:t>
            </w:r>
          </w:p>
        </w:tc>
        <w:tc>
          <w:tcPr>
            <w:tcW w:type="dxa" w:w="4320"/>
          </w:tcPr>
          <w:p>
            <w:r>
              <w:t>Gideon Park, Partner, IP &amp; Technology Transactions</w:t>
            </w:r>
          </w:p>
        </w:tc>
      </w:tr>
      <w:tr>
        <w:tc>
          <w:tcPr>
            <w:tcW w:type="dxa" w:w="4320"/>
          </w:tcPr>
          <w:p>
            <w:r>
              <w:t>Re</w:t>
            </w:r>
          </w:p>
        </w:tc>
        <w:tc>
          <w:tcPr>
            <w:tcW w:type="dxa" w:w="4320"/>
          </w:tcPr>
          <w:p>
            <w:r>
              <w:t>Control-loop IP walkout — trade secret exposure assessment and recommended actions</w:t>
            </w:r>
          </w:p>
        </w:tc>
      </w:tr>
      <w:tr>
        <w:tc>
          <w:tcPr>
            <w:tcW w:type="dxa" w:w="4320"/>
          </w:tcPr>
          <w:p>
            <w:r>
              <w:t>Date</w:t>
            </w:r>
          </w:p>
        </w:tc>
        <w:tc>
          <w:tcPr>
            <w:tcW w:type="dxa" w:w="4320"/>
          </w:tcPr>
          <w:p>
            <w:r>
              <w:t>Today</w:t>
            </w:r>
          </w:p>
        </w:tc>
      </w:tr>
    </w:tbl>
    <w:p>
      <w:pPr>
        <w:pStyle w:val="Heading2"/>
      </w:pPr>
      <w:r>
        <w:t>1. Purpose</w:t>
      </w:r>
    </w:p>
    <w:p>
      <w:r>
        <w:t>This memorandum documents the trade-secret walkout triage conducted following the departure of the Pellumbra control-loop engineering lead. It sets out what we currently know about what left with the departing engineer, identifies the trade secrets and confidential technical information most exposed, and recommends immediate and near-term protective steps. This is a working document; it will be updated as diligence continues and as we hear back from Pellumbra's engineering and IT leads on outstanding items.</w:t>
      </w:r>
    </w:p>
    <w:p>
      <w:pPr>
        <w:pStyle w:val="Heading2"/>
      </w:pPr>
      <w:r>
        <w:t>2. Background</w:t>
      </w:r>
    </w:p>
    <w:p>
      <w:r>
        <w:t>Pellumbra's control-loop engineering lead resigned and departed within the last two weeks. Pellumbra is presently negotiating the Ravenna collaboration agreement, under which certain control-loop algorithms and calibration methodologies developed by Pellumbra's engineering team are contemplated as licensed or jointly developed IP. The timing of the departure, immediately ahead of execution of the collaboration agreement, warrants a defensive review independent of whether any misappropriation in fact occurred.</w:t>
      </w:r>
    </w:p>
    <w:p>
      <w:r>
        <w:t>Two internal meetings were held to gather facts: an initial scoping discussion and a follow-up session with Pellumbra's IT and engineering management to walk through access logs, device return status, and the departing engineer's project history.</w:t>
      </w:r>
    </w:p>
    <w:p>
      <w:pPr>
        <w:pStyle w:val="Heading2"/>
      </w:pPr>
      <w:r>
        <w:t>3. What We Know So Far</w:t>
      </w:r>
    </w:p>
    <w:p>
      <w:pPr>
        <w:pStyle w:val="ListBullet"/>
      </w:pPr>
      <w:r>
        <w:t>The departing engineer had administrative access to the control-loop calibration repository, including the proprietary tuning parameters that are the subject of the Ravenna negotiation.</w:t>
      </w:r>
    </w:p>
    <w:p>
      <w:pPr>
        <w:pStyle w:val="ListBullet"/>
      </w:pPr>
      <w:r>
        <w:t>Exit interview and standard offboarding (badge deactivation, email suspension) were completed on the stated last day, but device wipe/return confirmation for the issued laptop is still outstanding as of this writing.</w:t>
      </w:r>
    </w:p>
    <w:p>
      <w:pPr>
        <w:pStyle w:val="ListBullet"/>
      </w:pPr>
      <w:r>
        <w:t>IT has not yet completed a review of the engineer's cloud storage and personal device sync logs for the 30 days preceding departure; this is the single most important open item.</w:t>
      </w:r>
    </w:p>
    <w:p>
      <w:pPr>
        <w:pStyle w:val="ListBullet"/>
      </w:pPr>
      <w:r>
        <w:t>No competitor or new employer has been identified yet through public sources (no LinkedIn update, no announced move) — this should be monitored, not treated as reassurance.</w:t>
      </w:r>
    </w:p>
    <w:p>
      <w:pPr>
        <w:pStyle w:val="ListBullet"/>
      </w:pPr>
      <w:r>
        <w:t>The engineer signed a standard confidentiality and IP assignment agreement at hire; we have not yet confirmed whether it included post-employment non-solicitation or non-compete terms, which may be jurisdiction-limited.</w:t>
      </w:r>
    </w:p>
    <w:p>
      <w:pPr>
        <w:pStyle w:val="Heading2"/>
      </w:pPr>
      <w:r>
        <w:t>4. Trade Secrets and Confidential Information at Risk</w:t>
      </w:r>
    </w:p>
    <w:p>
      <w:pPr>
        <w:pStyle w:val="ListNumber"/>
      </w:pPr>
      <w:r>
        <w:t>Control-loop calibration methodology and tuning parameter sets — core technical differentiator and the subject matter most relevant to the pending Ravenna collaboration agreement.</w:t>
      </w:r>
    </w:p>
    <w:p>
      <w:pPr>
        <w:pStyle w:val="ListNumber"/>
      </w:pPr>
      <w:r>
        <w:t>Test and validation protocols developed internally for the control-loop platform.</w:t>
      </w:r>
    </w:p>
    <w:p>
      <w:pPr>
        <w:pStyle w:val="ListNumber"/>
      </w:pPr>
      <w:r>
        <w:t>Any internal roadmap, pricing, or collaboration-term documents the engineer may have had access to given seniority, including drafts or summaries of Ravenna deal terms.</w:t>
      </w:r>
    </w:p>
    <w:p>
      <w:pPr>
        <w:pStyle w:val="Heading2"/>
      </w:pPr>
      <w:r>
        <w:t>5. Recommended Immediate Actions</w:t>
      </w:r>
    </w:p>
    <w:p>
      <w:pPr>
        <w:pStyle w:val="ListNumber"/>
      </w:pPr>
      <w:r>
        <w:t>Complete forensic review of the engineer's device sync and cloud storage logs for the 30 days pre-departure — request this from IT today, treat as time-sensitive.</w:t>
      </w:r>
    </w:p>
    <w:p>
      <w:pPr>
        <w:pStyle w:val="ListNumber"/>
      </w:pPr>
      <w:r>
        <w:t>Obtain written confirmation of device return and wipe status; if the device has not been returned, send a written demand referencing the confidentiality agreement.</w:t>
      </w:r>
    </w:p>
    <w:p>
      <w:pPr>
        <w:pStyle w:val="ListNumber"/>
      </w:pPr>
      <w:r>
        <w:t>Pull and review the executed confidentiality/IP assignment agreement in full to confirm scope of post-employment obligations and governing law.</w:t>
      </w:r>
    </w:p>
    <w:p>
      <w:pPr>
        <w:pStyle w:val="ListNumber"/>
      </w:pPr>
      <w:r>
        <w:t>Hold on sharing any further calibration methodology detail with Ravenna's technical team until this review closes — the collaboration agreement's confidentiality carve-outs should not be finalized against an unresolved internal exposure.</w:t>
      </w:r>
    </w:p>
    <w:p>
      <w:pPr>
        <w:pStyle w:val="ListNumber"/>
      </w:pPr>
      <w:r>
        <w:t>Prepare a short factual chronology (dates of access, offboarding steps, open items) now, while memories and logs are fresh, in case this becomes a dispute later.</w:t>
      </w:r>
    </w:p>
    <w:p>
      <w:pPr>
        <w:pStyle w:val="Heading2"/>
      </w:pPr>
      <w:r>
        <w:t>6. Open Items / Next Steps</w:t>
      </w:r>
    </w:p>
    <w:p>
      <w:pPr>
        <w:pStyle w:val="ListBullet"/>
      </w:pPr>
      <w:r>
        <w:t>IT to deliver device and cloud-access log review — target within one week.</w:t>
      </w:r>
    </w:p>
    <w:p>
      <w:pPr>
        <w:pStyle w:val="ListBullet"/>
      </w:pPr>
      <w:r>
        <w:t>Confirm scope of the engineer's confidentiality/IP assignment agreement and any non-compete terms.</w:t>
      </w:r>
    </w:p>
    <w:p>
      <w:pPr>
        <w:pStyle w:val="ListBullet"/>
      </w:pPr>
      <w:r>
        <w:t>Monitor public sources for the engineer's next employer.</w:t>
      </w:r>
    </w:p>
    <w:p>
      <w:pPr>
        <w:pStyle w:val="ListBullet"/>
      </w:pPr>
      <w:r>
        <w:t>Reassess whether Ravenna collaboration agreement confidentiality provisions need tightening in light of this walkout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