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deal file — Ravenna collaboration agreement</w:t>
      </w:r>
    </w:p>
    <w:p>
      <w:r>
        <w:t>From: Gideon Park, Partner, IP &amp; Technology Transactions</w:t>
      </w:r>
    </w:p>
    <w:p>
      <w:r>
        <w:t>Re: Confirmation that no data has moved under the collaboration agreement pending finalization of the chain-of-access routing terms</w:t>
      </w:r>
    </w:p>
    <w:p>
      <w:pPr>
        <w:pStyle w:val="Heading2"/>
      </w:pPr>
      <w:r>
        <w:t>1. Purpose</w:t>
      </w:r>
    </w:p>
    <w:p>
      <w:r>
        <w:t>This memo closes out the open question raised repeatedly this cycle — most recently by Ulrich Bergmann and Dov Reinhardt — as to whether any data has actually moved between Pellumbra and Ravenna under the pending collaboration agreement before the access-routing provisions are finalized. The short answer, confirmed directly with Dov Reinhardt, is no: the arrangement is clean, nothing is live, and no data has been transferred. This memo records that status for the file and sets out what remains open before the cycle can close.</w:t>
      </w:r>
    </w:p>
    <w:p>
      <w:pPr>
        <w:pStyle w:val="Heading2"/>
      </w:pPr>
      <w:r>
        <w:t>2. Background</w:t>
      </w:r>
    </w:p>
    <w:p>
      <w:r>
        <w:t>The Ravenna collaboration agreement contemplates reciprocal access by each party's research personnel to certain datasets held by the other — Pellumbra's clinical-adjacent research data on one side, Ravenna's assay and modeling outputs on the other. Because the agreement has not yet been executed, and because the parties are still negotiating the routing mechanics for that access (who requests, who approves, what logging applies, and where the data physically sits once shared), no live data channel should exist yet. Multiple pings this cycle asked, in effect, whether that assumption still holds. It does.</w:t>
      </w:r>
    </w:p>
    <w:p>
      <w:pPr>
        <w:pStyle w:val="Heading2"/>
      </w:pPr>
      <w:r>
        <w:t>3. Confirmed status</w:t>
      </w:r>
    </w:p>
    <w:p>
      <w:pPr>
        <w:pStyle w:val="ListNumber"/>
      </w:pPr>
      <w:r>
        <w:t>No dataset has been transferred, mirrored, or made accessible by either party under the draft agreement as of today.</w:t>
      </w:r>
    </w:p>
    <w:p>
      <w:pPr>
        <w:pStyle w:val="ListNumber"/>
      </w:pPr>
      <w:r>
        <w:t>Dov Reinhardt confirmed directly that the arrangement is 'clean — nothing live, no data' moving in either direction.</w:t>
      </w:r>
    </w:p>
    <w:p>
      <w:pPr>
        <w:pStyle w:val="ListNumber"/>
      </w:pPr>
      <w:r>
        <w:t>The $0.00 figure tracked by finance for this matter this cycle is consistent with that: no data-transfer fee, no vendor pass-through, no billable access event has occurred, because no access has occurred.</w:t>
      </w:r>
    </w:p>
    <w:p>
      <w:pPr>
        <w:pStyle w:val="ListNumber"/>
      </w:pPr>
      <w:r>
        <w:t>This is the intended state. The parties agreed at the last working session that data would not move until the chain-of-access routing decision — who authorizes each request and how it is logged — is finalized and reflected in the agreement's Schedule D (Data Access Protocol).</w:t>
      </w:r>
    </w:p>
    <w:p>
      <w:pPr>
        <w:pStyle w:val="Heading2"/>
      </w:pPr>
      <w:r>
        <w:t>4. What is still open</w:t>
      </w:r>
    </w:p>
    <w:p>
      <w:r>
        <w:t>The chain-of-access routing question itself remains unresolved. Two duplicate-scheduled sessions on this topic occurred today without producing a documented decision; I attended the first and treated the second as redundant. The substantive question — whether access requests route through Pellumbra's data steward first or through a joint committee — has not been decided in writing, notwithstanding the informal discussion. Until it is, Schedule D cannot be finalized, and the agreement should not be signed with that schedule incomplete.</w:t>
      </w:r>
    </w:p>
    <w:p>
      <w:pPr>
        <w:pStyle w:val="Heading2"/>
      </w:pPr>
      <w:r>
        <w:t>5. Recommendation</w:t>
      </w:r>
    </w:p>
    <w:p>
      <w:pPr>
        <w:pStyle w:val="ListBullet"/>
      </w:pPr>
      <w:r>
        <w:t>Treat the data-movement question as closed for this cycle: nothing live, no exposure, no correction needed to the $0.00 tracking entry.</w:t>
      </w:r>
    </w:p>
    <w:p>
      <w:pPr>
        <w:pStyle w:val="ListBullet"/>
      </w:pPr>
      <w:r>
        <w:t>Do not close the broader Ravenna file yet. Schedule D routing mechanics need a documented decision, not another meeting, before the agreement is put in final form.</w:t>
      </w:r>
    </w:p>
    <w:p>
      <w:pPr>
        <w:pStyle w:val="ListBullet"/>
      </w:pPr>
      <w:r>
        <w:t>I will circulate a one-page routing proposal (steward-first model) for sign-off by both sides' business leads within the next few business days, so the next touchpoint on this produces a decision rather than a fifth ask with nothing back.</w:t>
      </w:r>
    </w:p>
    <w:p>
      <w:pPr>
        <w:pStyle w:val="Heading2"/>
      </w:pPr>
      <w:r>
        <w:t>6. Distribution</w:t>
      </w:r>
    </w:p>
    <w:p>
      <w:r>
        <w:t>This memo is for the deal file and for Bennett Ashworth and Ulrich Bergmann, to close the loop on their respective questions this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