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Memorandum</w:t>
      </w:r>
    </w:p>
    <w:p>
      <w:r>
        <w:t>To: File — Pellumbra / Ravenna Collaboration Agreement</w:t>
      </w:r>
    </w:p>
    <w:p>
      <w:r>
        <w:t>From: Gideon Park, Partner, IP &amp; Technology Transactions</w:t>
      </w:r>
    </w:p>
    <w:p>
      <w:r>
        <w:t>Re: Data Rights, IP Ownership, and Cross-Border Data Flow Terms in the Pellumbra-Ravenna Collaboration Agreement</w:t>
      </w:r>
    </w:p>
    <w:p>
      <w:pPr>
        <w:pStyle w:val="Heading2"/>
      </w:pPr>
      <w:r>
        <w:t>Purpose</w:t>
      </w:r>
    </w:p>
    <w:p>
      <w:r>
        <w:t>This memorandum sets out my analysis and recommendations on the intellectual property and data terms of the proposed collaboration agreement between Pellumbra and Ravenna, and flags the points of overlap with the cross-border clinical data assessment (tkt-000009) and the Series C disclosure schedule (tkt-000008) that need to be resolved before the agreement is finalized. So the interesting problem here is that this deal is really three agreements wearing one jacket: a research collaboration, a data-sharing arrangement, and — because Ravenna will be generating derivative datasets from Pellumbra's clinical data — an IP ownership question that neither side has fully priced in yet.</w:t>
      </w:r>
    </w:p>
    <w:p>
      <w:pPr>
        <w:pStyle w:val="Heading2"/>
      </w:pPr>
      <w:r>
        <w:t>Background</w:t>
      </w:r>
    </w:p>
    <w:p>
      <w:r>
        <w:t>Pellumbra proposes to share de-identified clinical trial data with Ravenna under the collaboration agreement so that Ravenna can apply its modeling platform to identify biomarker candidates. Ravenna is based in a jurisdiction whose data protection regime has not yet been mapped against the jurisdictions from which Pellumbra's underlying trial data was collected. That mapping is the subject of the separate cross-border clinical data assessment, but the two workstreams are more entangled than the ticketing suggests: the collaboration agreement's data-use license cannot be drafted sensibly until we know which transfer mechanism (standard contractual clauses, adequacy reliance, or consent-based transfer) will actually be available.</w:t>
      </w:r>
    </w:p>
    <w:p>
      <w:pPr>
        <w:pStyle w:val="Heading2"/>
      </w:pPr>
      <w:r>
        <w:t>Key Issues</w:t>
      </w:r>
    </w:p>
    <w:p>
      <w:pPr>
        <w:pStyle w:val="ListNumber"/>
      </w:pPr>
      <w:r>
        <w:t>Ownership of derivative datasets and trained models. The current draft is silent on who owns a biomarker model trained on Pellumbra's data using Ravenna's platform. I recommend a joint-ownership structure with a cross-license back to each party for its own commercial use, rather than a background/foreground IP split, because the model's value is inseparable from both the data and the platform that produced it.</w:t>
      </w:r>
    </w:p>
    <w:p>
      <w:pPr>
        <w:pStyle w:val="ListNumber"/>
      </w:pPr>
      <w:r>
        <w:t>Field-of-use restrictions. Ravenna's platform is used across multiple therapeutic areas for other clients. Pellumbra needs a contractual wall preventing Ravenna from applying insights derived from Pellumbra's dataset to a competitor's program, even where the derived model itself is not directly reused.</w:t>
      </w:r>
    </w:p>
    <w:p>
      <w:pPr>
        <w:pStyle w:val="ListNumber"/>
      </w:pPr>
      <w:r>
        <w:t>Cross-border transfer mechanism. Until the jurisdictional assessment under tkt-000009 is complete, the data-sharing schedule to this agreement should be drafted with a placeholder transfer mechanism and a condition precedent to the data-sharing obligations, not a fixed mechanism. Locking in SCCs now, before we've confirmed adequacy status, risks having to renegotiate the whole schedule later.</w:t>
      </w:r>
    </w:p>
    <w:p>
      <w:pPr>
        <w:pStyle w:val="ListNumber"/>
      </w:pPr>
      <w:r>
        <w:t>Disclosure schedule interaction. Pellumbra's Series C disclosure schedule (tkt-000008) will need to describe this collaboration agreement's IP ownership terms accurately once finalized. I recommend sequencing: finalize the ownership and field-of-use terms here first, then draft the corresponding disclosure schedule entry, rather than drafting both in parallel — inconsistency between the two is the kind of thing a Series C investor's counsel will flag immediately in diligence.</w:t>
      </w:r>
    </w:p>
    <w:p>
      <w:pPr>
        <w:pStyle w:val="ListNumber"/>
      </w:pPr>
      <w:r>
        <w:t>Trade-secret exposure from personnel departure. A former engineering lead with knowledge of the control-loop technology underlying Ravenna's platform integration has departed. Before we finalize the field-of-use and ownership language above, we need to confirm that the departing employee's obligations (and any cease-and-desist correspondence to a new employer) are consistent with the confidentiality and residual-knowledge carve-outs we're about to negotiate into Sections 4 and 7 — no point locking in IP terms here that a parallel trade-secret dispute could undercut.</w:t>
      </w:r>
    </w:p>
    <w:p>
      <w:pPr>
        <w:pStyle w:val="Heading2"/>
      </w:pPr>
      <w:r>
        <w:t>Recommendation</w:t>
      </w:r>
    </w:p>
    <w:p>
      <w:r>
        <w:t>I recommend we hold the collaboration agreement's data-sharing schedule open pending the cross-border assessment, finalize the joint-ownership and field-of-use language this week since those terms do not depend on the jurisdictional analysis, and defer the Series C disclosure schedule entry until the ownership terms are locked. Markup of Sections 4 (Data Use), 7 (Intellectual Property), and Schedule C (Cross-Border Data Transfer) is in progress and will circulate by end of week, alongside the C&amp;D letter addressing the control-loop trade-secret issue, so both workstreams reflect a consistent view of what counts as protectable know-how.</w:t>
      </w:r>
    </w:p>
    <w:p>
      <w:pPr>
        <w:pStyle w:val="Heading2"/>
      </w:pPr>
      <w:r>
        <w:t>Next Steps</w:t>
      </w:r>
    </w:p>
    <w:p>
      <w:pPr>
        <w:pStyle w:val="ListBullet"/>
      </w:pPr>
      <w:r>
        <w:t>Confirm status of jurisdictional mapping under tkt-000009 and target completion date</w:t>
      </w:r>
    </w:p>
    <w:p>
      <w:pPr>
        <w:pStyle w:val="ListBullet"/>
      </w:pPr>
      <w:r>
        <w:t>Circulate markup of Sections 4 and 7 to Pellumbra business team for commercial input on field-of-use scope</w:t>
      </w:r>
    </w:p>
    <w:p>
      <w:pPr>
        <w:pStyle w:val="ListBullet"/>
      </w:pPr>
      <w:r>
        <w:t>Hold Schedule C in placeholder form with condition precedent language</w:t>
      </w:r>
    </w:p>
    <w:p>
      <w:pPr>
        <w:pStyle w:val="ListBullet"/>
      </w:pPr>
      <w:r>
        <w:t>Coordinate with corporate team on Series C disclosure schedule sequencing (tkt-000008)</w:t>
      </w:r>
    </w:p>
    <w:p>
      <w:pPr>
        <w:pStyle w:val="ListBullet"/>
      </w:pPr>
      <w:r>
        <w:t>Finalize and send cease-and-desist letter re: control-loop trade secrets to former engineering lead's new employer; confirm resulting confidentiality posture is reflected in Sections 4 and 7 markup</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