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Pellumbra, Inc. — Investor Relations / Board File</w:t>
            </w:r>
          </w:p>
        </w:tc>
      </w:tr>
      <w:tr>
        <w:tc>
          <w:tcPr>
            <w:tcW w:type="dxa" w:w="4320"/>
          </w:tcPr>
          <w:p>
            <w:r>
              <w:t>From</w:t>
            </w:r>
          </w:p>
        </w:tc>
        <w:tc>
          <w:tcPr>
            <w:tcW w:type="dxa" w:w="4320"/>
          </w:tcPr>
          <w:p>
            <w:r>
              <w:t>Elena Vasquez-Reyes, Partner, Corporate &amp; Securities</w:t>
            </w:r>
          </w:p>
        </w:tc>
      </w:tr>
      <w:tr>
        <w:tc>
          <w:tcPr>
            <w:tcW w:type="dxa" w:w="4320"/>
          </w:tcPr>
          <w:p>
            <w:r>
              <w:t>Re</w:t>
            </w:r>
          </w:p>
        </w:tc>
        <w:tc>
          <w:tcPr>
            <w:tcW w:type="dxa" w:w="4320"/>
          </w:tcPr>
          <w:p>
            <w:r>
              <w:t>Cross-Border Clinical Data Exposure — Disclosure Considerations for Investors</w:t>
            </w:r>
          </w:p>
        </w:tc>
      </w:tr>
      <w:tr>
        <w:tc>
          <w:tcPr>
            <w:tcW w:type="dxa" w:w="4320"/>
          </w:tcPr>
          <w:p>
            <w:r>
              <w:t>Date</w:t>
            </w:r>
          </w:p>
        </w:tc>
        <w:tc>
          <w:tcPr>
            <w:tcW w:type="dxa" w:w="4320"/>
          </w:tcPr>
          <w:p>
            <w:r>
              <w:t>See file metadata</w:t>
            </w:r>
          </w:p>
        </w:tc>
      </w:tr>
      <w:tr>
        <w:tc>
          <w:tcPr>
            <w:tcW w:type="dxa" w:w="4320"/>
          </w:tcPr>
          <w:p>
            <w:r>
              <w:t>Status</w:t>
            </w:r>
          </w:p>
        </w:tc>
        <w:tc>
          <w:tcPr>
            <w:tcW w:type="dxa" w:w="4320"/>
          </w:tcPr>
          <w:p>
            <w:r>
              <w:t>Draft for internal review — not for distribution outside the firm</w:t>
            </w:r>
          </w:p>
        </w:tc>
      </w:tr>
    </w:tbl>
    <w:p>
      <w:pPr>
        <w:pStyle w:val="Heading2"/>
      </w:pPr>
      <w:r>
        <w:t>1. Purpose</w:t>
      </w:r>
    </w:p>
    <w:p>
      <w:r>
        <w:t>This memorandum assesses the disclosure implications of Pellumbra's cross-border clinical data handling — specifically data generated under the Ravenna collaboration agreement and any related ex-U.S. trial sites — for purposes of investor-facing disclosure in connection with the pending Series C financing. The analysis addresses (a) whether current data transfer and processing arrangements create exposure that must be disclosed to prospective Series C investors, and (b) whether any regulatory reporting obligations are implicated under Securities Act Section 17(a) and Rule 10b-5 principles applicable to private placement disclosure.</w:t>
      </w:r>
    </w:p>
    <w:p>
      <w:pPr>
        <w:pStyle w:val="Heading2"/>
      </w:pPr>
      <w:r>
        <w:t>2. Summary Conclusion</w:t>
      </w:r>
    </w:p>
    <w:p>
      <w:r>
        <w:t>Pellumbra's cross-border clinical data flows — arising from trial sites and collaboration activity contemplated under the Ravenna agreement — present a disclosable risk factor for the Series C disclosure schedule. The risk is not, on present facts, a basis for delaying the financing, but it must be reflected in the risk factor section of the disclosure schedule and flagged to the Ravenna collaboration counterparty for confirmation of data processing terms before the schedule is finalized. I recommend against certifying the disclosure schedule as complete until Section 4 below is resolved.</w:t>
      </w:r>
    </w:p>
    <w:p>
      <w:pPr>
        <w:pStyle w:val="Heading2"/>
      </w:pPr>
      <w:r>
        <w:t>3. Background</w:t>
      </w:r>
    </w:p>
    <w:p>
      <w:r>
        <w:t>Pellumbra is preparing a Series C disclosure schedule (tkt-000008) concurrently with ongoing work on the Ravenna collaboration agreement (tkt-000007), which contemplates data sharing with an ex-U.S. collaboration partner. The company has not yet finalized its cross-border data transfer mechanism (e.g., standard contractual clauses or an equivalent transfer safeguard) for clinical data originating outside the United States. Investor counsel in prior rounds has treated data privacy compliance gaps as a Regulation D anti-fraud concern under Securities Act Section 17(a)(2) where the company's disclosure schedule represents compliance with data protection law without qualification.</w:t>
      </w:r>
    </w:p>
    <w:p>
      <w:pPr>
        <w:pStyle w:val="Heading2"/>
      </w:pPr>
      <w:r>
        <w:t>4. Open Items Requiring Resolution Before Filing</w:t>
      </w:r>
    </w:p>
    <w:p>
      <w:pPr>
        <w:pStyle w:val="ListNumber"/>
      </w:pPr>
      <w:r>
        <w:t>Confirm with the Ravenna counterparty whether clinical data collected at non-U.S. sites has been transferred to Pellumbra or its affiliates, and under what legal mechanism. Status: unresolved. Per team correspondence, the anticipated confirmation window with Ravenna counterparty counsel did not occur as scheduled; this item remains open and the hold on the disclosure schedule described in Section 6 continues in effect until a confirmation is received.</w:t>
      </w:r>
    </w:p>
    <w:p>
      <w:pPr>
        <w:pStyle w:val="ListNumber"/>
      </w:pPr>
      <w:r>
        <w:t>Obtain the current data processing addendum (if any) governing the Ravenna collaboration and determine whether it satisfies applicable cross-border transfer requirements.</w:t>
      </w:r>
    </w:p>
    <w:p>
      <w:pPr>
        <w:pStyle w:val="ListNumber"/>
      </w:pPr>
      <w:r>
        <w:t>Determine whether any regulatory notification obligations (e.g., to a data protection authority) have arisen or are anticipated, and whether any such obligation is a pending or threatened proceeding requiring disclosure under Item 103-equivalent private placement practice.</w:t>
      </w:r>
    </w:p>
    <w:p>
      <w:pPr>
        <w:pStyle w:val="ListNumber"/>
      </w:pPr>
      <w:r>
        <w:t>Confirm the scope of representations in Section 3.14 (Compliance with Laws) and Section 3.19 (Data Privacy) of the draft disclosure schedule against the actual state of the collaboration's data practices.</w:t>
      </w:r>
    </w:p>
    <w:p>
      <w:pPr>
        <w:pStyle w:val="Heading2"/>
      </w:pPr>
      <w:r>
        <w:t>5. Recommended Disclosure Language (Risk Factor Draft)</w:t>
      </w:r>
    </w:p>
    <w:p>
      <w:r>
        <w:t>"We collect, process, and transfer clinical trial data across multiple jurisdictions in connection with our collaboration arrangements, including data originating outside the United States. Cross-border data transfers are subject to evolving legal frameworks, and our compliance measures may not be adequate to address all applicable requirements. Any failure to comply with such requirements, or any determination by a regulatory authority that our data transfer practices are inadequate, could result in enforcement action, contractual liability to our collaboration partners, or reputational harm, any of which could adversely affect our business." This language should be reviewed against the specific facts developed under Section 4 above before it is finalized and inserted into the disclosure schedule.</w:t>
      </w:r>
    </w:p>
    <w:p>
      <w:pPr>
        <w:pStyle w:val="Heading2"/>
      </w:pPr>
      <w:r>
        <w:t>6. Next Steps</w:t>
      </w:r>
    </w:p>
    <w:p>
      <w:pPr>
        <w:pStyle w:val="ListNumber"/>
      </w:pPr>
      <w:r>
        <w:t>Circulate this memorandum to the Pellumbra engagement team and to lead Ravenna deal counsel for factual confirmation of items in Section 4.</w:t>
      </w:r>
    </w:p>
    <w:p>
      <w:pPr>
        <w:pStyle w:val="ListNumber"/>
      </w:pPr>
      <w:r>
        <w:t>Hold the Series C disclosure schedule in draft pending confirmation of the data transfer mechanism. This hold remains in place; the expected confirmation exchange with Ravenna counterparty counsel has not yet taken place.</w:t>
      </w:r>
    </w:p>
    <w:p>
      <w:pPr>
        <w:pStyle w:val="ListNumber"/>
      </w:pPr>
      <w:r>
        <w:t>Schedule a call with Pellumbra's General Counsel to walk through the risk factor language and confirm no board-level notice obligation has been triggered.</w:t>
      </w:r>
    </w:p>
    <w:p>
      <w:pPr>
        <w:pStyle w:val="Heading2"/>
      </w:pPr>
      <w:r>
        <w:t>7. Status Update</w:t>
      </w:r>
    </w:p>
    <w:p>
      <w:r>
        <w:t>As of the most recent deal status meeting, Section 4, item 1 remains the sole unresolved gating item on this memorandum: the Ravenna counterparty has not yet confirmed the data transfer mechanism, and the previously anticipated confirmation exchange did not occur. Accordingly, the disclosure schedule hold described in Section 6 stands. No new facts have come to light bearing on items 2 through 4 of Section 4, and the recommended risk factor language in Section 5 is unchanged. This memorandum will be updated upon receipt of the Ravenna counterparty's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