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Series C Disclosure Schedule; Pellumbra-Ravenna Collaboration Agreement</w:t>
            </w:r>
          </w:p>
        </w:tc>
      </w:tr>
      <w:tr>
        <w:tc>
          <w:tcPr>
            <w:tcW w:type="dxa" w:w="4320"/>
          </w:tcPr>
          <w:p>
            <w:r>
              <w:t>From:</w:t>
            </w:r>
          </w:p>
        </w:tc>
        <w:tc>
          <w:tcPr>
            <w:tcW w:type="dxa" w:w="4320"/>
          </w:tcPr>
          <w:p>
            <w:r>
              <w:t>Gideon Park, Partner, IP &amp; Technology Transactions</w:t>
            </w:r>
          </w:p>
        </w:tc>
      </w:tr>
      <w:tr>
        <w:tc>
          <w:tcPr>
            <w:tcW w:type="dxa" w:w="4320"/>
          </w:tcPr>
          <w:p>
            <w:r>
              <w:t>Date:</w:t>
            </w:r>
          </w:p>
        </w:tc>
        <w:tc>
          <w:tcPr>
            <w:tcW w:type="dxa" w:w="4320"/>
          </w:tcPr>
          <w:p>
            <w:r>
              <w:t>(today)</w:t>
            </w:r>
          </w:p>
        </w:tc>
      </w:tr>
      <w:tr>
        <w:tc>
          <w:tcPr>
            <w:tcW w:type="dxa" w:w="4320"/>
          </w:tcPr>
          <w:p>
            <w:r>
              <w:t>Re:</w:t>
            </w:r>
          </w:p>
        </w:tc>
        <w:tc>
          <w:tcPr>
            <w:tcW w:type="dxa" w:w="4320"/>
          </w:tcPr>
          <w:p>
            <w:r>
              <w:t>Ravenna's claim of unauthorized use/disclosure of collaboration IP; effect on Series C disclosure schedule</w:t>
            </w:r>
          </w:p>
        </w:tc>
      </w:tr>
    </w:tbl>
    <w:p>
      <w:pPr>
        <w:pStyle w:val="Heading2"/>
      </w:pPr>
      <w:r>
        <w:t>1. Why this memo exists now</w:t>
      </w:r>
    </w:p>
    <w:p>
      <w:r>
        <w:t>Per-Teodor Vasiliev's email raised, on an urgent basis, a claim by Ravenna that Pellumbra has made unauthorized use or disclosure of technology or data arising under the Pellumbra-Ravenna Collaboration Agreement (tkt-000007). That claim lands squarely on top of the Series C disclosure schedule work (tkt-000008), because any unresolved IP ownership or breach dispute with a collaboration partner is a fact a reasonable investor would want disclosed, and a schedule that omits it is a problem for the deal team and for us. This memo sets out the factual predicate as currently understood, the interplay between the two engagements, and a recommended course before the disclosure schedule is finalized.</w:t>
      </w:r>
    </w:p>
    <w:p>
      <w:pPr>
        <w:pStyle w:val="Heading2"/>
      </w:pPr>
      <w:r>
        <w:t>2. Background — the Collaboration Agreement</w:t>
      </w:r>
    </w:p>
    <w:p>
      <w:r>
        <w:t>Pellumbra and Ravenna are parties to a collaboration agreement covering joint development work. The agreement contains customary field-of-use restrictions, a background-IP carve-out for each party's pre-existing technology, and a joint-IP regime for inventions arising from the collaboration itself. The dispute, as framed in Vasiliev's email, concerns whether certain control-loop code — the same code that was the subject of the internal access-issue thread involving former engineering lead Priyanka Deshmukh — falls within Ravenna's background IP or within the jointly developed deliverables under the agreement.</w:t>
      </w:r>
    </w:p>
    <w:p>
      <w:pPr>
        <w:pStyle w:val="Heading2"/>
      </w:pPr>
      <w:r>
        <w:t>3. The control-loop code access issue</w:t>
      </w:r>
    </w:p>
    <w:p>
      <w:r>
        <w:t>This morning's planning note flagged a follow-up with Priyanka Deshmukh regarding the former engineering lead's access to the control-loop code after her departure from Pellumbra. The sequence matters for two reasons. First, if Deshmukh retained or exercised repository access after her role ended, that is a facts-and-circumstances issue bearing on whether Pellumbra's use of the code post-departure was authorized internally, independent of anything Ravenna asserts. Second, and more pressingly, if the code Ravenna is pointing to is the same code Deshmukh worked on, we need to establish a clean chain of authorship and access before we take a position with Ravenna, because an inconsistent internal story is worse than no story.</w:t>
      </w:r>
    </w:p>
    <w:p>
      <w:pPr>
        <w:pStyle w:val="Heading2"/>
      </w:pPr>
      <w:r>
        <w:t>4. So the interesting problem here is</w:t>
      </w:r>
    </w:p>
    <w:p>
      <w:r>
        <w:t>So the interesting problem here is that we do not yet know, on the current record, whether the control-loop code is background IP contributed by Ravenna under the collaboration agreement's Schedule A, or code independently developed by Pellumbra's engineering team before the collaboration began, or a joint deliverable subject to the agreement's joint-ownership clause. Each answer produces a different disclosure outcome for Series C:</w:t>
      </w:r>
    </w:p>
    <w:p>
      <w:pPr>
        <w:pStyle w:val="ListNumber"/>
      </w:pPr>
      <w:r>
        <w:t>If it is Ravenna background IP that Pellumbra used outside the licensed field of use, that is a live breach exposure that must be disclosed as a threatened or asserted claim.</w:t>
      </w:r>
    </w:p>
    <w:p>
      <w:pPr>
        <w:pStyle w:val="ListNumber"/>
      </w:pPr>
      <w:r>
        <w:t>If it is Pellumbra's independently developed technology, Ravenna's claim is more likely a negotiating position than a genuine ownership dispute, and disclosure can be calibrated accordingly, though the claim itself — once asserted in writing — still needs to be listed.</w:t>
      </w:r>
    </w:p>
    <w:p>
      <w:pPr>
        <w:pStyle w:val="ListNumber"/>
      </w:pPr>
      <w:r>
        <w:t>If it is joint IP, the collaboration agreement's own dispute-resolution and license-back provisions likely govern, and the disclosure schedule should describe the claim with reference to that mechanism rather than as an open-ended risk.</w:t>
      </w:r>
    </w:p>
    <w:p>
      <w:pPr>
        <w:pStyle w:val="Heading2"/>
      </w:pPr>
      <w:r>
        <w:t>5. Recommended sequence</w:t>
      </w:r>
    </w:p>
    <w:p>
      <w:pPr>
        <w:pStyle w:val="ListNumber"/>
      </w:pPr>
      <w:r>
        <w:t>Complete the Deshmukh follow-up first. Confirm exact dates of her access to the control-loop repository relative to her departure date and relative to the collaboration agreement's effective date.</w:t>
      </w:r>
    </w:p>
    <w:p>
      <w:pPr>
        <w:pStyle w:val="ListNumber"/>
      </w:pPr>
      <w:r>
        <w:t>Pull the collaboration agreement's Schedule A (background IP disclosures) and Section on joint inventions; compare against the code's commit history and any IP assignment on file for Deshmukh.</w:t>
      </w:r>
    </w:p>
    <w:p>
      <w:pPr>
        <w:pStyle w:val="ListNumber"/>
      </w:pPr>
      <w:r>
        <w:t>Draft a short written response to Vasiliev acknowledging the claim, requesting Ravenna's specifics (which code, which provision, which use), and reserving all rights — do not concede or characterize ownership in that response.</w:t>
      </w:r>
    </w:p>
    <w:p>
      <w:pPr>
        <w:pStyle w:val="ListNumber"/>
      </w:pPr>
      <w:r>
        <w:t>Flag the claim to the Series C deal team today as a disclosure item under the IP litigation/claims representation, with the characterization to follow once items 1-2 above are resolved. Do not wait for full resolution to make the initial disclosure — an asserted claim is disclosable whether or not it is meritorious.</w:t>
      </w:r>
    </w:p>
    <w:p>
      <w:pPr>
        <w:pStyle w:val="Heading2"/>
      </w:pPr>
      <w:r>
        <w:t>6. Status</w:t>
      </w:r>
    </w:p>
    <w:p>
      <w:r>
        <w:t>No position has been taken with Ravenna. No representation has been finalized on the Series C disclosure schedule. This memo is the working record pending the Deshmukh follow-up and document comparison described above.</w:t>
      </w:r>
    </w:p>
    <w:p>
      <w:pPr>
        <w:pStyle w:val="Heading2"/>
      </w:pPr>
      <w:r>
        <w:t>7. Status update — chain-of-access follow-up still pending</w:t>
      </w:r>
    </w:p>
    <w:p>
      <w:r>
        <w:t>As of today, the Deshmukh chain-of-access confirmation described in Section 5, item 1 remains open. Klara Bendtsen has asked whether there is any word on the missing officer's certificate for the departed engineer, and I have confirmed back that nothing has come in yet on the outstanding access records — we are still chasing them. Until that confirmation is in hand, the analysis in Sections 3 and 4 remains provisional: we cannot yet fix the dates of Deshmukh's post-departure repository access relative to her departure date and the collaboration agreement's effective date, and the disclosure characterization in Section 4 cannot be narrowed beyond the three scenarios already described.</w:t>
      </w:r>
    </w:p>
    <w:p>
      <w:r>
        <w:t>This does not change the recommendation in Section 5, item 4: the claim should still be flagged to the Series C deal team as a disclosure item now, without waiting on the Deshmukh confirmation. It does mean the response to Vasiliev contemplated in Section 5, item 3 should continue to reserve all rights and avoid any characterization of ownership, since we are not yet in a position to take a substantive position internally, let alone with Ravenna.</w:t>
      </w:r>
    </w:p>
    <w:p>
      <w:pPr>
        <w:pStyle w:val="Heading2"/>
      </w:pPr>
      <w:r>
        <w:t>8. Note — keeping Coastal Meridian separate from the Ravenna claim</w:t>
      </w:r>
    </w:p>
    <w:p>
      <w:r>
        <w:t>Separately, chat threads with Ulrich Bergmann and Cecile Marchand have raised whether Coastal Meridian and Ravenna are, or should be treated as, distinct for purposes of the disclosure schedule and any related workstreams. As of today both threads confirm the two remain distinct — Coastal Meridian is not Ravenna, and nothing in the Coastal Meridian discussion should be read as bearing on the collaboration-IP claim described above, or vice versa. This is worth stating expressly in the working record because the two names have surfaced in parallel this week and a conflation between them would be an easy, and costly, error to carry into either the disclosure schedule or the response to Vasiliev. Until and unless that changes, the Ravenna analysis in Sections 2-7 above should be read as confined to the Pellumbra-Ravenna Collaboration Agreement and should not be extended to Coastal Meridian on the current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