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Series C Deal Team</w:t>
      </w:r>
    </w:p>
    <w:p>
      <w:r>
        <w:t>From: Elena Vasquez-Reyes, Partner, Corporate &amp; Securities</w:t>
      </w:r>
    </w:p>
    <w:p>
      <w:r>
        <w:t>Re: Disclosure Schedule 2.9 (Intellectual Property) and Section 2.11(c) (Change of Control) — Gap Analysis and Proposed Resolution</w:t>
      </w:r>
    </w:p>
    <w:p>
      <w:r>
        <w:t>This memorandum addresses the open item identified at today's deal status meeting concerning the intersection of the intellectual property representations in Section 2.9 of the Series C Purchase Agreement and the change-of-control disclosure required under Section 2.11(c). The gap, if unresolved, exposes Pellumbra to a claim that Schedule 2.9 is incomplete as of signing.</w:t>
      </w:r>
    </w:p>
    <w:p>
      <w:pPr>
        <w:pStyle w:val="Heading2"/>
      </w:pPr>
      <w:r>
        <w:t>1. The Gap</w:t>
      </w:r>
    </w:p>
    <w:p>
      <w:r>
        <w:t>Section 2.9(a) requires Pellumbra to schedule all agreements under which a third party holds or may acquire rights in Pellumbra's core IP, including any agreement that grants a counterparty a license, option, or assignment right triggered by a change of control of Pellumbra. Section 2.11(c) separately requires disclosure of any contract that itself contains a change-of-control trigger affecting Pellumbra's obligations.</w:t>
      </w:r>
    </w:p>
    <w:p>
      <w:r>
        <w:t>The current draft of Schedule 2.9 lists the Ravenna Collaboration Agreement (see related engagement, Pellumbra/Ravenna) as an in-force IP license but does not disclose that Section 8.4 of that agreement grants Ravenna an irrevocable, royalty-free license to jointly developed IP upon a 'change of control' of Pellumbra, defined to include a Series C financing that results in the Series C investors holding, in the aggregate, voting control of the board. Depending on the final board composition negotiated for this round, that trigger may be activated by the transaction the disclosure schedule is meant to describe.</w:t>
      </w:r>
    </w:p>
    <w:p>
      <w:pPr>
        <w:pStyle w:val="Heading2"/>
      </w:pPr>
      <w:r>
        <w:t>2. Why This Matters Now</w:t>
      </w:r>
    </w:p>
    <w:p>
      <w:pPr>
        <w:pStyle w:val="ListNumber"/>
      </w:pPr>
      <w:r>
        <w:t>If the Series C investor group obtains board control as currently termed, signing may itself trigger Ravenna's Section 8.4 rights — an event that must be disclosed on Schedule 2.9, not merely footnoted on Schedule 2.11.</w:t>
      </w:r>
    </w:p>
    <w:p>
      <w:pPr>
        <w:pStyle w:val="ListNumber"/>
      </w:pPr>
      <w:r>
        <w:t>Silence on this point is the kind of omission that supports a subsequent claim the disclosure schedule was inaccurate as of the closing date, which is the more consequential representation for indemnification purposes.</w:t>
      </w:r>
    </w:p>
    <w:p>
      <w:pPr>
        <w:pStyle w:val="ListNumber"/>
      </w:pPr>
      <w:r>
        <w:t>The board-composition question was, as of this morning, still being negotiated by the term sheet team; the disclosure schedule could not be finalized independently of that outcome.</w:t>
      </w:r>
    </w:p>
    <w:p>
      <w:pPr>
        <w:pStyle w:val="Heading2"/>
      </w:pPr>
      <w:r>
        <w:t>3. Resolution and Remaining Steps</w:t>
      </w:r>
    </w:p>
    <w:p>
      <w:r>
        <w:t>Following today's deal status call, the term sheet team has confirmed the final board composition for the Series C round. On that composition, the Series C investors will hold a majority of board seats and therefore voting control of the board within the meaning of Section 8.4 of the Ravenna Collaboration Agreement. Signing accordingly does trigger Ravenna's Section 8.4 license rights. The recommended resolution is updated as follows.</w:t>
      </w:r>
    </w:p>
    <w:p>
      <w:pPr>
        <w:pStyle w:val="ListNumber"/>
      </w:pPr>
      <w:r>
        <w:t>Add a cross-referenced entry to Schedule 2.9 disclosing Section 8.4 of the Ravenna Collaboration Agreement in full — this remains necessary regardless of trigger status and should be drafted now.</w:t>
      </w:r>
    </w:p>
    <w:p>
      <w:pPr>
        <w:pStyle w:val="ListNumber"/>
      </w:pPr>
      <w:r>
        <w:t>Add a corresponding entry to Schedule 2.11(c) describing the change-of-control definition and confirming that, under the board composition as finally negotiated, the Series C closing does constitute a triggering event.</w:t>
      </w:r>
    </w:p>
    <w:p>
      <w:pPr>
        <w:pStyle w:val="ListNumber"/>
      </w:pPr>
      <w:r>
        <w:t>Board-composition confirmation from the term sheet team has been obtained and is on file; the schedules may proceed to drafting on that basis.</w:t>
      </w:r>
    </w:p>
    <w:p>
      <w:pPr>
        <w:pStyle w:val="ListNumber"/>
      </w:pPr>
      <w:r>
        <w:t>Because Section 8.4 is triggered, the Ravenna waiver/consent question described in Section 3.1 below has been escalated and a preliminary response received; final disclosure language should await written confirmation from Ravenna's counsel before the schedules are locked for signature.</w:t>
      </w:r>
    </w:p>
    <w:p>
      <w:pPr>
        <w:pStyle w:val="Heading2"/>
      </w:pPr>
      <w:r>
        <w:t>3.1 Ravenna Escalation — Current Status</w:t>
      </w:r>
    </w:p>
    <w:p>
      <w:r>
        <w:t>The Ravenna waiver/consent question was escalated internally per today's deal status call, and outside counsel for Ravenna has since responded informally to indicate a willingness to discuss a limited consent or interim standstill arrangement rather than allowing the Section 8.4 license grant to take effect automatically at closing. This response has not yet been reduced to writing on Ravenna's side. The schedules should continue to be drafted on the assumption that the Section 8.4 license grant will be disclosed as triggered, with a note reserving the point pending Ravenna's written confirmation of the terms of any consent or standstill. If a written arrangement is reached before signing, the disclosure language will need to be revisited to reflect its conditional or interim terms.</w:t>
      </w:r>
    </w:p>
    <w:p>
      <w:pPr>
        <w:pStyle w:val="Heading2"/>
      </w:pPr>
      <w:r>
        <w:t>4. Status</w:t>
      </w:r>
    </w:p>
    <w:p>
      <w:r>
        <w:t>The board-composition question referenced in the prior draft of this memorandum has been resolved: the term sheet team has confirmed that Series C investors will hold board control, and Section 8.4 of the Ravenna Collaboration Agreement is triggered by this transaction. Schedule 2.9 and Schedule 2.11(c) should still not be represented as final. Of the two remaining open items identified in the prior draft, the investor clinical-data-access question described in Section 5 below has now been assessed and does not require new disclosure. The Ravenna waiver/consent escalation described in Section 3.1 above remains open pending Ravenna's written confirmation of the terms of any consent or standstill arrangement. I will circulate revised schedule language reflecting the confirmed trigger, and will report separately on the final outcome of the Ravenna escalation before the schedules are locked for signature.</w:t>
      </w:r>
    </w:p>
    <w:p>
      <w:pPr>
        <w:pStyle w:val="Heading2"/>
      </w:pPr>
      <w:r>
        <w:t>5. Investor Question on Clinical Data Access — Resolved</w:t>
      </w:r>
    </w:p>
    <w:p>
      <w:r>
        <w:t>Teodor Vasiliev had raised, by email on behalf of the Series C investor group, a question regarding investor access to Pellumbra's clinical data as part of ongoing diligence. Following review with the deal team on today's call, we have determined that the access being requested falls within the scope of the existing data-access provisions already reflected in the Series C Purchase Agreement and does not implicate any third-party rights in, or restrictions on, Pellumbra's clinical data or related IP beyond those already disclosed on Schedule 2.9. Accordingly, no new disclosure to Schedule 2.9 or Schedule 2.11(c) is required as a result of this inquiry, and this item is closed for purposes of the disclosure schedules. We will confirm this conclusion to Mr. Vasiliev in the ordinary course of diligence correspondence.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