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Series C Disclosure Schedule — IP and Clinical Data Fix</w:t>
      </w:r>
    </w:p>
    <w:p>
      <w:r>
        <w:t>This memorandum sets out the revisions needed to the Series C disclosure schedules to address two related gaps: (1) the IP ownership split under the Pellumbra–Ravenna collaboration agreement, specifically the joint-ownership claim asserted over improvements, and (2) the jurisdictional intersection presented by clinical data generated under that collaboration. Both items are addressed together because the underlying agreement and data flows overlap, but they raise distinct disclosure questions and are treated separately below.</w:t>
      </w:r>
    </w:p>
    <w:p>
      <w:pPr>
        <w:pStyle w:val="Heading2"/>
      </w:pPr>
      <w:r>
        <w:t>1. Background</w:t>
      </w:r>
    </w:p>
    <w:p>
      <w:r>
        <w:t>The Ravenna collaboration partner has asserted a joint-ownership claim over certain improvements developed under the collaboration agreement. We have completed our analysis of the contractual footing for that claim, summarized in the memo "Pellumbra–Ravenna Collaboration Agreement: Joint Ownership Claim Over Improvements — Preliminary Analysis," and our assessed position is now final for purposes of this disclosure exercise.</w:t>
      </w:r>
    </w:p>
    <w:p>
      <w:r>
        <w:t>Separately, the collaboration generates clinical data that is collected and processed across multiple jurisdictions. Sandhurst has been confirmed to have no impact on the OEM licence or on the IP schedule memo. We are separately confirming whether Sandhurst overlaps with the cross-border clinical data assessment; that check is not yet complete and is noted as open below.</w:t>
      </w:r>
    </w:p>
    <w:p>
      <w:r>
        <w:t>Ravenna and Coastal Meridian are distinct entities and distinct matters. This distinction must be preserved throughout the disclosure schedule and in any correspondence addressing the Ravenna claim, so that the claim is not conflated with anything involving Coastal Meridian.</w:t>
      </w:r>
    </w:p>
    <w:p>
      <w:pPr>
        <w:pStyle w:val="Heading2"/>
      </w:pPr>
      <w:r>
        <w:t>2. Assessed Position on the Ravenna Joint-Ownership Claim</w:t>
      </w:r>
    </w:p>
    <w:p>
      <w:pPr>
        <w:pStyle w:val="ListNumber"/>
      </w:pPr>
      <w:r>
        <w:t>Textual footing: the claim rests on the improvements clause and the background IP clause of the collaboration agreement. Our reading is that these clauses, taken together, do not support a joint-ownership interpretation as broad as the one asserted.</w:t>
      </w:r>
    </w:p>
    <w:p>
      <w:pPr>
        <w:pStyle w:val="ListNumber"/>
      </w:pPr>
      <w:r>
        <w:t>Strongest counter-argument: inventorship. Contribution to conception under the agreement's own inventorship allocation is the strongest basis to rebut the joint-ownership claim, independent of the contractual drafting question.</w:t>
      </w:r>
    </w:p>
    <w:p>
      <w:pPr>
        <w:pStyle w:val="ListNumber"/>
      </w:pPr>
      <w:r>
        <w:t>Sequencing: outside patent counsel will be engaged only if the contractual analysis does not resolve the claim on its own. That step has not yet been triggered.</w:t>
      </w:r>
    </w:p>
    <w:p>
      <w:pPr>
        <w:pStyle w:val="ListNumber"/>
      </w:pPr>
      <w:r>
        <w:t>Standstill/notice provision: confirmation of whether a standstill or notice obligation applies to further action on the claim is still pending and is tracked as an open item, not a blocker to this disclosure.</w:t>
      </w:r>
    </w:p>
    <w:p>
      <w:pPr>
        <w:pStyle w:val="Heading2"/>
      </w:pPr>
      <w:r>
        <w:t>3. Disclosure Treatment</w:t>
      </w:r>
    </w:p>
    <w:p>
      <w:r>
        <w:t>Consistent with the firm's recommendation, the Ravenna joint-ownership claim is disclosed on the Series C disclosure schedule as an identified unresolved dispute. This treatment reflects that the claim is real, is contested, and has not been finally resolved — not that the company's position is weak. The disclosure language below is proposed for insertion into the IP disclosure schedule.</w:t>
      </w:r>
    </w:p>
    <w:p>
      <w:pPr>
        <w:pStyle w:val="Heading3"/>
      </w:pPr>
      <w:r>
        <w:t>Proposed Schedule Language</w:t>
      </w:r>
    </w:p>
    <w:p>
      <w:r>
        <w:t>"The Company's collaboration partner under the Pellumbra–Ravenna Collaboration Agreement has asserted a claim of joint ownership over certain improvements developed under that agreement. The Company disputes this claim and has identified textual and inventorship-based grounds supporting its position. The dispute is unresolved as of the date of this schedule and is disclosed as an identified unresolved dispute. The Company does not believe the claim, if resolved against it, would have a material adverse effect on the Company's ownership of the IP portfolio taken as a whole, but makes no representation as to the outcome of the dispute itself."</w:t>
      </w:r>
    </w:p>
    <w:p>
      <w:pPr>
        <w:pStyle w:val="Heading2"/>
      </w:pPr>
      <w:r>
        <w:t>4. Clinical Data Jurisdictional Intersection</w:t>
      </w:r>
    </w:p>
    <w:p>
      <w:r>
        <w:t>The clinical data generated under the Ravenna collaboration is collected and processed across jurisdictions with differing data protection regimes. This raises a disclosure question distinct from the ownership dispute: whether cross-border transfer and processing of that data creates compliance exposure that should itself be scheduled.</w:t>
      </w:r>
    </w:p>
    <w:p>
      <w:pPr>
        <w:pStyle w:val="ListBullet"/>
      </w:pPr>
      <w:r>
        <w:t>Sandhurst confirmed to have no impact on the OEM licence or the IP schedule memo.</w:t>
      </w:r>
    </w:p>
    <w:p>
      <w:pPr>
        <w:pStyle w:val="ListBullet"/>
      </w:pPr>
      <w:r>
        <w:t>Sandhurst overlap with the cross-border clinical data assessment is still being checked and is not yet resolved.</w:t>
      </w:r>
    </w:p>
    <w:p>
      <w:pPr>
        <w:pStyle w:val="ListBullet"/>
      </w:pPr>
      <w:r>
        <w:t>Pending that check, the clinical data jurisdictional item is disclosed on a conservative basis, describing the multi-jurisdictional processing and noting that the assessment of overlap with other in-scope matters is ongoing.</w:t>
      </w:r>
    </w:p>
    <w:p>
      <w:pPr>
        <w:pStyle w:val="Heading3"/>
      </w:pPr>
      <w:r>
        <w:t>Proposed Schedule Language</w:t>
      </w:r>
    </w:p>
    <w:p>
      <w:r>
        <w:t>"Clinical data generated under the Pellumbra–Ravenna Collaboration Agreement is collected, transferred, and processed across multiple jurisdictions. The Company is assessing the extent to which such processing may intersect with other data-related matters affecting the Company's collaboration and licensing arrangements. This assessment is ongoing and this schedule will be updated upon its completion."</w:t>
      </w:r>
    </w:p>
    <w:p>
      <w:pPr>
        <w:pStyle w:val="Heading2"/>
      </w:pPr>
      <w:r>
        <w:t>5. Change-of-Control and OEM Licence Coordination</w:t>
      </w:r>
    </w:p>
    <w:p>
      <w:r>
        <w:t>On the Ravenna ownership split specifically, Gideon will field any questions from investor counsel directly; if such a question comes through Teodor first, Teodor will loop Gideon in before responding. This keeps a single, consistent voice on the contractual and inventorship position summarized in Section 2 above.</w:t>
      </w:r>
    </w:p>
    <w:p>
      <w:r>
        <w:t>Separately, on the change-of-control question presented by the OEM licence: we are still verifying whether the OEM licence requires its own line item under Section 3 of the disclosure schedule. Our current view is that the OEM licence does not carry the same change-of-control trigger as the Ravenna collaboration agreement, but this has not yet been finally confirmed. A definitive answer will be given by Thursday.</w:t>
      </w:r>
    </w:p>
    <w:p>
      <w:r>
        <w:t>Thursday remains the deadline for finalizing both the OEM licence change-of-control determination and the broader disclosure schedule review. A call on the Ravenna ownership split is proposed for Thursday at 9:30 AM, subject to Teodor's actual availability.</w:t>
      </w:r>
    </w:p>
    <w:p>
      <w:pPr>
        <w:pStyle w:val="Heading2"/>
      </w:pPr>
      <w:r>
        <w:t>6. Open Items</w:t>
      </w:r>
    </w:p>
    <w:p>
      <w:pPr>
        <w:pStyle w:val="ListNumber"/>
      </w:pPr>
      <w:r>
        <w:t>Confirmation of Sandhurst overlap with the cross-border clinical data assessment — outstanding.</w:t>
      </w:r>
    </w:p>
    <w:p>
      <w:pPr>
        <w:pStyle w:val="ListNumber"/>
      </w:pPr>
      <w:r>
        <w:t>Confirmation of the standstill/notice provision applicable to the Ravenna claim — outstanding.</w:t>
      </w:r>
    </w:p>
    <w:p>
      <w:pPr>
        <w:pStyle w:val="ListNumber"/>
      </w:pPr>
      <w:r>
        <w:t>Confirmation of whether the OEM licence requires a separate Section 3 line item for change-of-control purposes — outstanding; definitive answer due Thursday.</w:t>
      </w:r>
    </w:p>
    <w:p>
      <w:pPr>
        <w:pStyle w:val="ListNumber"/>
      </w:pPr>
      <w:r>
        <w:t>Chain-of-access confirmation (Deshmukh) relevant to the related control-loop trade-secret and patent filing workstream — this issue has since been resolved and is no longer a risk to the patent filing deadline; retained here for record purposes only.</w:t>
      </w:r>
    </w:p>
    <w:p>
      <w:pPr>
        <w:pStyle w:val="Heading2"/>
      </w:pPr>
      <w:r>
        <w:t>7. Recommendation</w:t>
      </w:r>
    </w:p>
    <w:p>
      <w:r>
        <w:t>We recommend the schedule be revised now to include both disclosure items in the form set out above, with the open items in Section 6 tracked for follow-up rather than held as a condition to filing. Disclosing the Ravenna claim as an identified unresolved dispute, on the assessed contractual and inventorship position, gives the company an accurate and defensible schedule without conceding the claim's merits. Final confirmation on the OEM licence change-of-control question and closure of the remaining open items are targeted for Thursday, consistent with the deadline noted in Section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