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Reply Brief in Support of Motion for Summary Judgment</w:t>
      </w:r>
    </w:p>
    <w:p>
      <w:pPr>
        <w:pStyle w:val="Heading2"/>
      </w:pPr>
      <w:r>
        <w:t>Section II. Plaintiff's Claims Are Time-Barred Under the Discovery Rule</w:t>
      </w:r>
    </w:p>
    <w:p>
      <w:r>
        <w:t>The better view, and the one compelled by the record, is that Plaintiff's claims accrued no later than March 2021, when Plaintiff received the audit letter identifying the very discrepancy now forming the basis of this suit. Plaintiff's opposition does not dispute receipt of that letter. It instead argues that accrual was tolled until Plaintiff obtained 'confirmatory' documents in 2023. That argument fails for the reasons set out below, and the reply should lead with it because it disposes of the entire opposition without reaching the merits.</w:t>
      </w:r>
    </w:p>
    <w:p>
      <w:pPr>
        <w:pStyle w:val="Heading3"/>
      </w:pPr>
      <w:r>
        <w:t>A. The Discovery Rule Requires Inquiry Notice, Not Certainty</w:t>
      </w:r>
    </w:p>
    <w:p>
      <w:r>
        <w:t>Plaintiff's opposition (Opp. at 14-17) conflates 'discovery' of a claim with proof of a claim. That is not the law of this jurisdiction. Under [Statute] and the controlling appellate authority collected in the research memo dated last week, the limitations period begins to run when a plaintiff has knowledge of facts sufficient to place a reasonable person on inquiry notice — not when the plaintiff has assembled admissible evidence. Plaintiff's own deposition testimony establishes inquiry notice as of the March 2021 letter: Plaintiff testified that the letter 'raised a red flag' and that Plaintiff 'looked into it' at the time. That testimony is fatal to the tolling argument standing alone.</w:t>
      </w:r>
    </w:p>
    <w:p>
      <w:pPr>
        <w:pStyle w:val="Heading3"/>
      </w:pPr>
      <w:r>
        <w:t>B. The Cases Plaintiff Cites Do Not Support a Certainty Standard</w:t>
      </w:r>
    </w:p>
    <w:p>
      <w:r>
        <w:t>Plaintiff relies principally on two cases for the proposition that accrual is deferred until a plaintiff has documentary confirmation. Neither supports that reading. The first case involved a plaintiff who had no reason to suspect wrongdoing until the confirming document surfaced — a materially different posture from one in which the plaintiff already suspected wrongdoing and simply wanted better proof. The second case is not a discovery-rule case at all; it addresses the separate doctrine of fraudulent concealment, which Plaintiff has not pleaded and cannot now inject through the opposition brief. The reply should make this distinction explicit rather than assume the court will draw it unassisted.</w:t>
      </w:r>
    </w:p>
    <w:p>
      <w:pPr>
        <w:pStyle w:val="Heading3"/>
      </w:pPr>
      <w:r>
        <w:t>C. Application to the Record</w:t>
      </w:r>
    </w:p>
    <w:p>
      <w:pPr>
        <w:pStyle w:val="ListNumber"/>
      </w:pPr>
      <w:r>
        <w:t>March 2021: Plaintiff receives audit letter identifying the discrepancy.</w:t>
      </w:r>
    </w:p>
    <w:p>
      <w:pPr>
        <w:pStyle w:val="ListNumber"/>
      </w:pPr>
      <w:r>
        <w:t>April 2021: Plaintiff's own deposition testimony confirms Plaintiff 'looked into' the letter's contents.</w:t>
      </w:r>
    </w:p>
    <w:p>
      <w:pPr>
        <w:pStyle w:val="ListNumber"/>
      </w:pPr>
      <w:r>
        <w:t>The complaint was filed in September 2024 — more than three years after inquiry notice, exceeding the applicable [X]-year limitations period by any measure.</w:t>
      </w:r>
    </w:p>
    <w:p>
      <w:pPr>
        <w:pStyle w:val="ListNumber"/>
      </w:pPr>
      <w:r>
        <w:t>The 2023 documents Plaintiff points to add detail, not discovery; they confirm what Plaintiff already suspected and had a duty to investigate starting in 2021.</w:t>
      </w:r>
    </w:p>
    <w:p>
      <w:pPr>
        <w:pStyle w:val="Heading3"/>
      </w:pPr>
      <w:r>
        <w:t>C-1. Narrowing the Governing Limitations Period</w:t>
      </w:r>
    </w:p>
    <w:p>
      <w:r>
        <w:t>The [Statute]/[X]-year brackets above remain open pending final confirmation, but the analysis has already been narrowed rather than left entirely at large. On this record, the claim sounds most naturally in the category of claims subject to the [Statute] discovery-rule provision cited in Section II.A, which is the same provision the research memo's appellate authority construes for inquiry-notice purposes; the reply should not need to reach for a different limitations statute, since Plaintiff has not pleaded a separate theory (e.g., fraud-based) that would trigger a different period. If [Statute] carries a three-year period, the March 2021 inquiry-notice date and the September 2024 filing date already establish untimeliness with room to spare; if the period is shorter, the margin is only wider. The one scenario that would matter — a materially longer period, such as one running four or more years — should be checked against [Statute] specifically before this section is finalized, since that is the only configuration under which the March 2021 accrual date would not, by itself, dispose of the claim. That check remains the single confirmation still needed to finalize the bracketed citation; the accrual and inquiry-notice analysis above does not depend on which of the plausible periods turns out to govern, and no further narrowing is possible without that external confirmation of the statute's actual text and period.</w:t>
      </w:r>
    </w:p>
    <w:p>
      <w:r>
        <w:t>Drafting note for the partner: the research memo flagged a split of authority on whether inquiry notice requires subjective suspicion or is measured objectively. The stronger record support here is the subjective route — Plaintiff's own testimony — so the reply should lead with that and hold the objective standard in reserve as an alternative ground, addressed briefly in a footnote rather than in the body, to avoid diluting the primary argument. The placeholder-text concern raised earlier with Thandiwe has been confirmed resolved: it was isolated to the separate cite-check/declaration pull workbook, she has pulled and corrected the affected entries, and it does not affect the analysis above. The [Statute]/[X]-year brackets in this draft remain the only open item in this section: subsection C-1 above has narrowed the confirmation needed to a single question (whether [Statute]'s period could run four-plus years). That question has not yet been affirmatively answered by anyone with authority to confirm the statute's text, so the bracketed citation still cannot be finalized in this draft; final sign-off should follow promptly once that single confirmation comes in.</w:t>
      </w:r>
    </w:p>
    <w:p>
      <w:pPr>
        <w:pStyle w:val="Heading3"/>
      </w:pPr>
      <w:r>
        <w:t>D. Remaining Drafting Tasks</w:t>
      </w:r>
    </w:p>
    <w:p>
      <w:pPr>
        <w:pStyle w:val="ListBullet"/>
      </w:pPr>
      <w:r>
        <w:t>Cite-check the two distinguished cases against the deposition excerpts once the certified transcript pages are back from the court reporter.</w:t>
      </w:r>
    </w:p>
    <w:p>
      <w:pPr>
        <w:pStyle w:val="ListBullet"/>
      </w:pPr>
      <w:r>
        <w:t>Obtain confirmation of [Statute] as the governing provision and its exact period, focusing specifically on whether it could run four or more years (the one configuration identified in C-1 that would require additional argument); this remains the sole substantive open item in this section and requires input from someone who can verify the statutory text — it is not resolved by anything in this draft.</w:t>
      </w:r>
    </w:p>
    <w:p>
      <w:pPr>
        <w:pStyle w:val="ListBullet"/>
      </w:pPr>
      <w:r>
        <w:t>Cite-check workbook (separate from this memo): the placeholder-text issue there is confirmed fixed as of today's docket call with Thandiwe; no further action needed on that item. Pin cites should still be reconciled against the final record citations before this becomes a filing rather than a working draft, but that is now a mechanical check, not an open substantive flag.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