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Pryor Matter — Dispositive Motion Research Memo</w:t>
      </w:r>
    </w:p>
    <w:p>
      <w:r>
        <w:t>Status: Draft, Work Session 17. This session carries forward the Section V-C analysis from Work Session 16 (interaction between the limitations analysis and the anticipated laches defense) and records one procedural development: the discovery-team input on the prejudice element, previously identified as an open item, has now been formally requested. The governing limitations-period bracket and Cecile's confirmation remain outstanding. Thandiwe's confirmation, resolved in Work Session 16, remains closed and is unaffected by an unrelated, separate follow-up she has since sent on the Ardmore Elevate matter, which does not concern this memo. The memo continues to proceed on the working assumption stated in V-B and flags where the laches analysis would need to be revised if that assumption changes.</w:t>
      </w:r>
    </w:p>
    <w:p>
      <w:pPr>
        <w:pStyle w:val="Heading2"/>
      </w:pPr>
      <w:r>
        <w:t>V-C. Interaction Between the Limitations Defense and Anticipated Laches Argument</w:t>
      </w:r>
    </w:p>
    <w:p>
      <w:r>
        <w:t>The better view is that the laches argument, if raised, does not operate independently of the limitations analysis in Section V-B — it is parasitic on it. Laches requires (1) unreasonable delay in asserting a known right and (2) prejudice to the defendant from that delay. Both elements draw on the same factual predicate as the inquiry-notice theory developed in Section V-A: the date on which Pryor knew or should have known of the claim. If the court accepts the inquiry-notice date advanced in V-A, the delay period for laches purposes is coextensive with the limitations period already at issue, and a laches defense adds nothing opposing counsel does not already get from the statute. If the court instead accepts a later accrual date — the tolling scenario addressed in the twelfth work session — the delay period shortens correspondingly, and the laches argument weakens in tandem.</w:t>
      </w:r>
    </w:p>
    <w:p>
      <w:r>
        <w:t>This creates a sequencing consideration for the reply brief distinct from the inquiry-notice/causation sequencing already addressed in V-A. The better view is that the reply should address laches only after the limitations argument, and only in the alternative, so as not to suggest to the court that the limitations argument alone is insufficient. Structuring it otherwise risks diluting the primary argument.</w:t>
      </w:r>
    </w:p>
    <w:p>
      <w:pPr>
        <w:pStyle w:val="Heading3"/>
      </w:pPr>
      <w:r>
        <w:t>Open sub-issue: prejudice showing</w:t>
      </w:r>
    </w:p>
    <w:p>
      <w:r>
        <w:t>Unlike the limitations bracket (Section V-B), which is a pure legal-authority question, the prejudice element of laches is fact-intensive and turns on witness availability and document retention during the delay window. As of this session, that input has been formally requested from the discovery team; the request is pending and the item is not yet resolved. This development does not affect the resolution of Thandiwe's confirmation, which closed in Work Session 16, nor does it touch the limitations-bracket or Cecile confirmations, which remain separate and outstanding.</w:t>
      </w:r>
    </w:p>
    <w:p>
      <w:pPr>
        <w:pStyle w:val="Heading3"/>
      </w:pPr>
      <w:r>
        <w:t>Note on Work Session 16 status change</w:t>
      </w:r>
    </w:p>
    <w:p>
      <w:r>
        <w:t>Thandiwe's confirmation, carried as an open item since prior sessions, was resolved in Work Session 16: she reviewed the non-privileged materials at issue and confirmed her sign-off. This does not bear on the limitations-bracket confirmation or on Cecile's confirmation, both of which concern separate questions and remain outstanding. It likewise does not alter the V-C analysis above, which depends on the limitations-bracket resolution, not on Thandiwe's item. Note further that a subsequent, unrelated message from Thandiwe concerning the Ardmore Elevate matter has no bearing on this memo or on the resolved status of her confirmation here.</w:t>
      </w:r>
    </w:p>
    <w:p>
      <w:pPr>
        <w:pStyle w:val="Heading2"/>
      </w:pPr>
      <w:r>
        <w:t>Open Items</w:t>
      </w:r>
    </w:p>
    <w:p>
      <w:pPr>
        <w:pStyle w:val="ListNumber"/>
      </w:pPr>
      <w:r>
        <w:t>Governing limitations period: [Statute]/[X]-year bracket — confirmation still outstanding (carried from Work Session 13; active focus item unchanged this session).</w:t>
      </w:r>
    </w:p>
    <w:p>
      <w:pPr>
        <w:pStyle w:val="ListNumber"/>
      </w:pPr>
      <w:r>
        <w:t>Cecile's confirmation — outstanding, unchanged.</w:t>
      </w:r>
    </w:p>
    <w:p>
      <w:pPr>
        <w:pStyle w:val="ListNumber"/>
      </w:pPr>
      <w:r>
        <w:t>Thandiwe's confirmation — RESOLVED, Work Session 16: reviewed non-privileged materials and confirmed.</w:t>
      </w:r>
    </w:p>
    <w:p>
      <w:pPr>
        <w:pStyle w:val="ListNumber"/>
      </w:pPr>
      <w:r>
        <w:t>Discovery-team input on witness availability and document retention during the asserted delay window, needed to support or rebut the prejudice element of the anticipated laches defense — REQUEST SENT, Work Session 17; response pending.</w:t>
      </w:r>
    </w:p>
    <w:p>
      <w:pPr>
        <w:pStyle w:val="Heading2"/>
      </w:pPr>
      <w:r>
        <w:t>Next Steps</w:t>
      </w:r>
    </w:p>
    <w:p>
      <w:pPr>
        <w:pStyle w:val="ListNumber"/>
      </w:pPr>
      <w:r>
        <w:t>Continue pursuit of the limitations-period bracket confirmation (active focus item, per Work Session 13/14).</w:t>
      </w:r>
    </w:p>
    <w:p>
      <w:pPr>
        <w:pStyle w:val="ListNumber"/>
      </w:pPr>
      <w:r>
        <w:t>Follow up with the discovery team on the prejudice-showing request sent this session; incorporate response into Section V-C sub-issue once received.</w:t>
      </w:r>
    </w:p>
    <w:p>
      <w:pPr>
        <w:pStyle w:val="ListNumber"/>
      </w:pPr>
      <w:r>
        <w:t>Hold laches drafting at the V-C outline level until the limitations bracket is confirmed, given the dependency described above.</w:t>
      </w:r>
    </w:p>
    <w:p>
      <w:pPr>
        <w:pStyle w:val="ListNumber"/>
      </w:pPr>
      <w:r>
        <w:t>No further action needed on Thandiwe's item, now closed; her separate Ardmore Elevate follow-up is outside the scope of this memo and should be handled independently.</w:t>
      </w:r>
    </w:p>
    <w:p>
      <w:pPr>
        <w:pStyle w:val="ListNumber"/>
      </w:pPr>
      <w:r>
        <w:t>No change to the outstanding request directed to Cecile.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