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Rosalie</w:t>
      </w:r>
    </w:p>
    <w:p>
      <w:r>
        <w:t>From: Hyun-woo Bae</w:t>
      </w:r>
    </w:p>
    <w:p>
      <w:r>
        <w:t>Re: Pryor Reply Brief — Work Plan &amp; Staffing Outline: Drafting and Review Sections</w:t>
      </w:r>
    </w:p>
    <w:p>
      <w:pPr>
        <w:pStyle w:val="Heading2"/>
      </w:pPr>
      <w:r>
        <w:t>Summary</w:t>
      </w:r>
    </w:p>
    <w:p>
      <w:pPr>
        <w:pStyle w:val="ListNumber"/>
      </w:pPr>
      <w:r>
        <w:t>Drafting assignments are finalized by section, with sequencing set so that argument sections dependent on the record cite-check do not start until that package clears.</w:t>
      </w:r>
    </w:p>
    <w:p>
      <w:pPr>
        <w:pStyle w:val="ListNumber"/>
      </w:pPr>
      <w:r>
        <w:t>Review is structured as two passes — a substance pass by Rosalie and a cite/record-support pass by me — with sign-off gates before the brief moves to filing-ready form.</w:t>
      </w:r>
    </w:p>
    <w:p>
      <w:pPr>
        <w:pStyle w:val="ListNumber"/>
      </w:pPr>
      <w:r>
        <w:t>No open blockers on this document, confirmed on today's docket call. The meal-break memo transcript issue (Noor's matter) and Sable Ridge are separate workstreams tracked independently and do not affect this timeline.</w:t>
      </w:r>
    </w:p>
    <w:p>
      <w:pPr>
        <w:pStyle w:val="Heading2"/>
      </w:pPr>
      <w:r>
        <w:t>1. Drafting Plan</w:t>
      </w:r>
    </w:p>
    <w:p>
      <w:r>
        <w:t>1.1 Section ownership. Each section of the reply brief is assigned to a single drafter to avoid overlap and voice drift. Assignments track the outline already circulated: procedural history and standard of review, response to Pryor's primary liability argument, response to the damages argument, and the closing/relief section.</w:t>
      </w:r>
    </w:p>
    <w:p>
      <w:pPr>
        <w:pStyle w:val="ListBullet"/>
      </w:pPr>
      <w:r>
        <w:t>Procedural history and standard of review — drafted first, since it is largely mechanical and unblocks nothing else.</w:t>
      </w:r>
    </w:p>
    <w:p>
      <w:pPr>
        <w:pStyle w:val="ListBullet"/>
      </w:pPr>
      <w:r>
        <w:t>Response to primary liability argument — the longest section; drafting starts once the record cite-check for the underlying deposition testimony is confirmed.</w:t>
      </w:r>
    </w:p>
    <w:p>
      <w:pPr>
        <w:pStyle w:val="ListBullet"/>
      </w:pPr>
      <w:r>
        <w:t>Response to damages argument — can proceed in parallel; depends only on the damages workpaper figures already in hand, not on the outstanding cite-check.</w:t>
      </w:r>
    </w:p>
    <w:p>
      <w:pPr>
        <w:pStyle w:val="ListBullet"/>
      </w:pPr>
      <w:r>
        <w:t>Closing and relief requested — short section, drafted last against the final version of the other three.</w:t>
      </w:r>
    </w:p>
    <w:p>
      <w:r>
        <w:t>1.2 Sequencing rationale. The liability-response section is the one place where drafting genuinely depends on an unresolved input — confirmation that the deposition cites support the propositions as stated. Everything else can move now. Rather than hold the whole brief for that one dependency, I've split drafting so the damages and procedural sections proceed immediately and only the liability section waits.</w:t>
      </w:r>
    </w:p>
    <w:p>
      <w:r>
        <w:t>1.3 Timeline. First complete internal draft (all four sections assembled, pre-review) targeted for end of week, contingent on the liability-section cite-check clearing by Wednesday. If that slips, the procedural and damages sections will still be draft-complete on schedule and the liability section will follow within two days of the cite-check clearing.</w:t>
      </w:r>
    </w:p>
    <w:p>
      <w:pPr>
        <w:pStyle w:val="Heading2"/>
      </w:pPr>
      <w:r>
        <w:t>2. Review Plan</w:t>
      </w:r>
    </w:p>
    <w:p>
      <w:r>
        <w:t>2.1 Two-pass structure. Review runs in two passes rather than one combined pass, to keep substance comments and record-support comments from getting tangled in the same markup.</w:t>
      </w:r>
    </w:p>
    <w:p>
      <w:pPr>
        <w:pStyle w:val="ListNumber"/>
      </w:pPr>
      <w:r>
        <w:t>Pass one — substance review (Rosalie): argument structure, whether each section actually answers the corresponding point in Pryor's opening brief, and whether the relief requested lines up with what's pled.</w:t>
      </w:r>
    </w:p>
    <w:p>
      <w:pPr>
        <w:pStyle w:val="ListNumber"/>
      </w:pPr>
      <w:r>
        <w:t>Pass two — record-support review (Hyun-woo): every factual assertion and case cite checked against the record and against the authority actually saying what we say it says. This is the same discipline applied on the recent redline review — supported points are signed off, and anywhere a conclusion outpaces what's confirmed in the record gets a flagged note rather than a silent edit.</w:t>
      </w:r>
    </w:p>
    <w:p>
      <w:r>
        <w:t>2.2 Sign-off gates. A section does not move to the next pass until the prior pass is cleared. Substance review happens first because there's no point record-checking a section whose argument structure might still change. This mirrors the approach already in use on the licensing redline: preserve original text, append review notes at points that need factual confirmation, and sign off explicitly on sections that are already well-supported.</w:t>
      </w:r>
    </w:p>
    <w:p>
      <w:r>
        <w:t>2.3 Known review risk. The liability section is the one most likely to generate record-support flags in pass two, given it leans on deposition testimony that hasn't been fully cite-checked yet. I'd rather flag that now than have it surface as a fire drill during the final read.</w:t>
      </w:r>
    </w:p>
    <w:p>
      <w:pPr>
        <w:pStyle w:val="Heading2"/>
      </w:pPr>
      <w:r>
        <w:t>3. Open Items Not Affecting This Timeline</w:t>
      </w:r>
    </w:p>
    <w:p>
      <w:r>
        <w:t>3.1 The meal-break memo transcript delay (Noor's matter) and Sable Ridge are separate workstreams, unrelated to Pryor. On today's docket call we confirmed there are no new blockers beyond these two matters, and no rotating on-call issues affecting Pryor. Neither has any dependency on this brief, and I've confirmed the cite-check piece on my end is fully closed out; the previously flagged unassigned cite-check/declaration pull package has since been picked up and is no longer unowned.</w:t>
      </w:r>
    </w:p>
    <w:p>
      <w:r>
        <w:t>Happy to walk through the sequencing above if it's easier live — otherwise I'll circulate the assembled draft as each section clears its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