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Reply Position Paper — Pryor Matter</w:t>
      </w:r>
    </w:p>
    <w:p>
      <w:r>
        <w:t>DRAFT — attorney work product, not for distribution outside the engagement team. Prepared ahead of the reply deadline, now confirmed for the week from Monday, for internal review and revision. Citations, exhibit references, and final argument sequencing remain to be completed as the record develops.</w:t>
      </w:r>
    </w:p>
    <w:p>
      <w:pPr>
        <w:pStyle w:val="Heading2"/>
      </w:pPr>
      <w:r>
        <w:t>I. Introduction</w:t>
      </w:r>
    </w:p>
    <w:p>
      <w:r>
        <w:t>This reply is submitted in further support of Respondent's position and in response to the arguments raised in the opposing submission. Nothing in that submission changes the outcome. The opposing position rests on characterizations of the record that are not supported once the underlying documents are examined, and on legal propositions that are, at best, arguably applicable to facts materially different from those here.</w:t>
      </w:r>
    </w:p>
    <w:p>
      <w:pPr>
        <w:pStyle w:val="Heading2"/>
      </w:pPr>
      <w:r>
        <w:t>II. Statement of the Unresolved Question</w:t>
      </w:r>
    </w:p>
    <w:p>
      <w:r>
        <w:t>The threshold issue is not, as the opposing submission frames it, whether the underlying conduct occurred — that is not seriously disputed. The issue is whether the conduct, as established, gives rise to the liability theory advanced. This is a narrower question than the opposing side treats it, and the answer to it does not require resolving disputed factual narrative at all.</w:t>
      </w:r>
    </w:p>
    <w:p>
      <w:pPr>
        <w:pStyle w:val="Heading2"/>
      </w:pPr>
      <w:r>
        <w:t>III. Argument</w:t>
      </w:r>
    </w:p>
    <w:p>
      <w:pPr>
        <w:pStyle w:val="Heading3"/>
      </w:pPr>
      <w:r>
        <w:t>A. The Opposing Theory Requires an Inference the Record Does Not Support</w:t>
      </w:r>
    </w:p>
    <w:p>
      <w:r>
        <w:t>Placeholder — to be developed once the outstanding transcript excerpts and supporting exhibits are incorporated. As of this pass, no new record citations have arrived beyond what was already resolved for the Sable Ridge cross-check; that cross-check is complete but pertains to a different matter and does not supply the citations needed here. The section will address the specific evidentiary gap on which the opposing theory depends and will identify the record citations that close it in Respondent's favor once available.</w:t>
      </w:r>
    </w:p>
    <w:p>
      <w:pPr>
        <w:pStyle w:val="Heading3"/>
      </w:pPr>
      <w:r>
        <w:t>B. The Authority Relied Upon Is Distinguishable</w:t>
      </w:r>
    </w:p>
    <w:p>
      <w:r>
        <w:t>Placeholder — the cases cited in the opposing submission are, arguably, on point at a level of generality that dissolves on closer reading. The case pull on the distinguishing facts has not yet come back from research support; this section cannot be drafted further until it does. This section will set out the factual distinctions and the controlling authority that governs instead.</w:t>
      </w:r>
    </w:p>
    <w:p>
      <w:pPr>
        <w:pStyle w:val="Heading3"/>
      </w:pPr>
      <w:r>
        <w:t>C. Even Under the Opposing Standard, the Result Does Not Change</w:t>
      </w:r>
    </w:p>
    <w:p>
      <w:r>
        <w:t>Placeholder — a fallback argument accepting, for purposes of this section only, the opposing framing of the standard and showing that Respondent still prevails under it. Included to foreclose an obvious reply-brief response before it can be made.</w:t>
      </w:r>
    </w:p>
    <w:p>
      <w:pPr>
        <w:pStyle w:val="Heading2"/>
      </w:pPr>
      <w:r>
        <w:t>IV. Relief Requested</w:t>
      </w:r>
    </w:p>
    <w:p>
      <w:r>
        <w:t>Placeholder — to be finalized once the argument sections above are complete and the requested relief is confirmed against the current procedural posture.</w:t>
      </w:r>
    </w:p>
    <w:p>
      <w:pPr>
        <w:pStyle w:val="Heading2"/>
      </w:pPr>
      <w:r>
        <w:t>V. Drafting Notes (internal — remove before filing)</w:t>
      </w:r>
    </w:p>
    <w:p>
      <w:pPr>
        <w:pStyle w:val="ListNumber"/>
      </w:pPr>
      <w:r>
        <w:t>Reply deadline confirmed: week from Monday. Section order must be finalized against that date.</w:t>
      </w:r>
    </w:p>
    <w:p>
      <w:pPr>
        <w:pStyle w:val="ListNumber"/>
      </w:pPr>
      <w:r>
        <w:t>Section III.A depends on record citations not yet finalized; do not cite until confirmed. Do not conflate with the Sable Ridge exhibit cross-check, which is complete but pertains to a different matter and supplies no citations here.</w:t>
      </w:r>
    </w:p>
    <w:p>
      <w:pPr>
        <w:pStyle w:val="ListNumber"/>
      </w:pPr>
      <w:r>
        <w:t>Section III.B needs a case pull on the distinguishing facts; still outstanding from research support as of this pass — flag again if not received shortly given the confirmed deadline.</w:t>
      </w:r>
    </w:p>
    <w:p>
      <w:pPr>
        <w:pStyle w:val="ListNumber"/>
      </w:pPr>
      <w:r>
        <w:t>Verify no overlap or inconsistency with positions taken in earlier submissions in this matter.</w:t>
      </w:r>
    </w:p>
    <w:p>
      <w:pPr>
        <w:pStyle w:val="ListNumber"/>
      </w:pPr>
      <w:r>
        <w:t>This document is a .docx while in this state; convert to .pdf only upon filing or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