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p>
      <w:r>
        <w:t>To: Jamal; Rosalie</w:t>
      </w:r>
    </w:p>
    <w:p>
      <w:r>
        <w:t>From: Cecile Marchand</w:t>
      </w:r>
    </w:p>
    <w:p>
      <w:r>
        <w:t>Re: Sequencing of response across the two Pryor trademark opposition filings</w:t>
      </w:r>
    </w:p>
    <w:p>
      <w:r>
        <w:t>This memo sets out the recommended order in which we should respond to the two pending opposition filings — the domestic proceeding and the parallel foreign-market filing — and the reasoning behind that sequence. It also confirms the controlling deadline for the domestic reply and flags the points on which I want Jamal and Rosalie to check my arithmetic before we rely on it.</w:t>
      </w:r>
    </w:p>
    <w:p>
      <w:pPr>
        <w:pStyle w:val="Heading2"/>
      </w:pPr>
      <w:r>
        <w:t>I. The Governing Deadline</w:t>
      </w:r>
    </w:p>
    <w:p>
      <w:r>
        <w:t>The opposition was filed Thursday. The reply is due fourteen days from the date of filing, which by my count places the deadline a week from Monday. I have confirmed this with Jamal and Rosalie separately; I ask that either of them flag promptly any discrepancy they identify in the filing date itself or in the rule governing the fourteen-day period, since a miscount here is the kind of error that does not survive contact with a tribunal. Absent a flagged discrepancy, we proceed on that date.</w:t>
      </w:r>
    </w:p>
    <w:p>
      <w:pPr>
        <w:pStyle w:val="Heading2"/>
      </w:pPr>
      <w:r>
        <w:t>II. The Two Filings, Compared</w:t>
      </w:r>
    </w:p>
    <w:p>
      <w:r>
        <w:t>We are dealing with opposition activity in two markets arising from a common underlying mark and a common opposing party. The filings are related in substance but not identical in procedural posture, and that difference drives the sequencing recommendation below.</w:t>
      </w:r>
    </w:p>
    <w:p>
      <w:pPr>
        <w:pStyle w:val="ListBullet"/>
      </w:pPr>
      <w:r>
        <w:t>Domestic filing: served Thursday; fourteen-day reply period running to a week from Monday; this is the filing with the harder deadline and the one for which our reply brief assembly is already underway.</w:t>
      </w:r>
    </w:p>
    <w:p>
      <w:pPr>
        <w:pStyle w:val="ListBullet"/>
      </w:pPr>
      <w:r>
        <w:t>Foreign-market filing: parallel opposition raising overlapping grounds; no imminent deadline currently confirmed, but the opposing party's arguments in that market appear to track the domestic filing closely enough that our domestic reply will substantially inform, and in places dictate, our approach there.</w:t>
      </w:r>
    </w:p>
    <w:p>
      <w:pPr>
        <w:pStyle w:val="Heading2"/>
      </w:pPr>
      <w:r>
        <w:t>III. Recommended Order of Response</w:t>
      </w:r>
    </w:p>
    <w:p>
      <w:pPr>
        <w:pStyle w:val="ListNumber"/>
      </w:pPr>
      <w:r>
        <w:t>Complete and file the domestic reply first, on the fourteen-day deadline described above. This is not optional sequencing; it is the only filing with a fixed clock running against us.</w:t>
      </w:r>
    </w:p>
    <w:p>
      <w:pPr>
        <w:pStyle w:val="ListNumber"/>
      </w:pPr>
      <w:r>
        <w:t>Hold the foreign-market response until after the domestic reply is filed, so that the positions we take domestically are locked before we commit to parallel positions abroad. Filing the foreign response first, or simultaneously, risks an inconsistency that opposing counsel in either forum would be entitled to exploit.</w:t>
      </w:r>
    </w:p>
    <w:p>
      <w:pPr>
        <w:pStyle w:val="ListNumber"/>
      </w:pPr>
      <w:r>
        <w:t>Use the domestic reply as the template for the foreign-market response, adapting only for jurisdiction-specific procedural requirements and any differences in the scope of the mark as registered in that market.</w:t>
      </w:r>
    </w:p>
    <w:p>
      <w:pPr>
        <w:pStyle w:val="Heading2"/>
      </w:pPr>
      <w:r>
        <w:t>IV. Status of Domestic Reply Brief Assembly</w:t>
      </w:r>
    </w:p>
    <w:p>
      <w:r>
        <w:t>Assembly of the domestic reply is on track. Hyunwoo's cite-check and declaration package is staged and ready for incorporation. My comments to Thandiwe have gone out, and assembly can proceed on that basis. I asked Rosalie for status on incorporating Hyunwoo's piece into the brief; once that is confirmed complete, the brief is ready for final review ahead of filing.</w:t>
      </w:r>
    </w:p>
    <w:p>
      <w:r>
        <w:t>Separately, and for the avoidance of doubt: the two items on the privilege log that were flagged as closed (the Vasquez interview summary and the Okafor text) are confirmed genuinely closed and are not blocking tonight's assembly. Nothing else is outstanding on my end.</w:t>
      </w:r>
    </w:p>
    <w:p>
      <w:pPr>
        <w:pStyle w:val="Heading2"/>
      </w:pPr>
      <w:r>
        <w:t>V. Open Items</w:t>
      </w:r>
    </w:p>
    <w:p>
      <w:pPr>
        <w:pStyle w:val="ListBullet"/>
      </w:pPr>
      <w:r>
        <w:t>Confirmation from Jamal and Rosalie that the fourteen-day count and the filing date are correct.</w:t>
      </w:r>
    </w:p>
    <w:p>
      <w:pPr>
        <w:pStyle w:val="ListBullet"/>
      </w:pPr>
      <w:r>
        <w:t>Confirmation from Rosalie that Hyunwoo's cite-check and declaration package has been fully incorporated into the assembled brief.</w:t>
      </w:r>
    </w:p>
    <w:p>
      <w:pPr>
        <w:pStyle w:val="ListBullet"/>
      </w:pPr>
      <w:r>
        <w:t>A firm deadline for the foreign-market filing, once available, so the second-stage timeline in Section III can be dated rather than sequential-only.</w:t>
      </w:r>
    </w:p>
    <w:p>
      <w:r>
        <w:t>I will circulate the assembled domestic reply for final sign-off once Rosalie confirms incorporation is complete. Please raise any disagreement with the sequencing recommendation in Section III before assembly is finalized; I would rather hear the objection now than discover it survives contact with the foreign tribunal later.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