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Trademark Oppositions — Combined Merits and Sequencing Assessment</w:t>
      </w:r>
    </w:p>
    <w:p>
      <w:r>
        <w:t>This memorandum consolidates the merits and sequencing analysis for both pending trademark opposition matters — the first-market opposition (Ravenna) and the second-market opposition (Coastal Meridian) — into the single substantive assessment that has been requested on multiple prior occasions. Earlier updates on the second-market file addressed status only (monitoring reports on whether Ravenna or Coastal Meridian had responded); this memorandum supplies the underlying legal analysis those status updates deferred.</w:t>
      </w:r>
    </w:p>
    <w:p>
      <w:pPr>
        <w:pStyle w:val="Heading2"/>
      </w:pPr>
      <w:r>
        <w:t>1. Scope and Posture</w:t>
      </w:r>
    </w:p>
    <w:p>
      <w:r>
        <w:t>Two oppositions are before the relevant trademark offices. The first-market opposition is fully briefed on the merits; that assessment was finalized, with the earlier evidentiary-gap and sequencing hedges resolved and removed, and the insurer reservation-of-rights note preserved unchanged in the finalized memorandum. The second-market (Coastal Meridian) opposition remains procedurally live but factually quiet: as of the most recent check-in, both Ravenna and Coastal Meridian remain dark, with no substantive response received from either party. That silence is a status fact, not a merits conclusion, and it does not alter the analysis below.</w:t>
      </w:r>
    </w:p>
    <w:p>
      <w:pPr>
        <w:pStyle w:val="Heading2"/>
      </w:pPr>
      <w:r>
        <w:t>2. Merits — First Market (Ravenna)</w:t>
      </w:r>
    </w:p>
    <w:p>
      <w:r>
        <w:t>The finalized first-market assessment concludes that the opposition rests on a defensible, though not unassailable, priority and likelihood-of-confusion position. The evidentiary gap previously flagged in the record — insufficient documented first-use evidence predating the contested filing — has been resolved through supplemental submissions, and the sequencing hedge (whether to press the opposition before or in parallel with the second-market proceeding) has likewise been resolved in favor of proceeding on the current schedule. The analysis is now complete and final, not provisional.</w:t>
      </w:r>
    </w:p>
    <w:p>
      <w:r>
        <w:t>I am not sure the opposing side's laches argument survives contact if it is raised in earnest; the delay here is measured in months against a multi-year mark, and the authority they would need is thin. That said, the reservation-of-rights position taken by the insurer on this file is preserved and unchanged, and nothing in this memorandum should be read to waive it.</w:t>
      </w:r>
    </w:p>
    <w:p>
      <w:pPr>
        <w:pStyle w:val="Heading2"/>
      </w:pPr>
      <w:r>
        <w:t>3. Merits — Second Market (Coastal Meridian)</w:t>
      </w:r>
    </w:p>
    <w:p>
      <w:r>
        <w:t>The Coastal Meridian opposition presents a materially similar mark-similarity and channels-of-trade analysis to the first-market matter, with one distinction worth stating plainly: the second-market registrant's filing basis is intent-to-use rather than use-in-commerce, which narrows the evidentiary burden on our side at this stage but also means there is, as yet, no adverse party conduct in the record to react to. Both Ravenna and Coastal Meridian have remained non-responsive through the most recent check-in (per Ulrich Bergmann and Bennett Ashworth); the office continues to monitor rather than act, and that contingency remains untriggered as of this update. This is a scheduling and posture fact; it does not weaken or strengthen the substantive opposition, which stands independently on the mark-comparison and dilution record already assembled.</w:t>
      </w:r>
    </w:p>
    <w:p>
      <w:pPr>
        <w:pStyle w:val="Heading2"/>
      </w:pPr>
      <w:r>
        <w:t>4. Sequencing</w:t>
      </w:r>
    </w:p>
    <w:p>
      <w:r>
        <w:t>The two matters are related but not procedurally linked, and nothing in the second-market file's continued silence bears on the timing of the first-market opposition, which proceeds on its own finalized schedule. For the second-market matter, the sensible sequencing is to hold at the current procedural posture pending a response from either Ravenna or Coastal Meridian, rather than to force an early substantive filing against a silent opponent; forcing the issue now would spend argument we do not yet need to spend. If the dark period extends materially longer without any filing activity on the other side, that is worth revisiting as a tactical (not merits) question, but it is not yet a basis for concern.</w:t>
      </w:r>
    </w:p>
    <w:p>
      <w:r>
        <w:t>For clarity of scope: this sequencing note addresses only the two opposition matters identified above. It does not concern, and should not be read to bear on, any unrelated items raised in the same meetings in which these matters were discussed, including unassigned action items or the Sable Ridge file.</w:t>
      </w:r>
    </w:p>
    <w:p>
      <w:pPr>
        <w:pStyle w:val="Heading2"/>
      </w:pPr>
      <w:r>
        <w:t>5. Bottom Line</w:t>
      </w:r>
    </w:p>
    <w:p>
      <w:pPr>
        <w:pStyle w:val="ListNumber"/>
      </w:pPr>
      <w:r>
        <w:t>First market (Ravenna): merits assessment is final. The opposition is well-supported; the priority evidentiary gap is closed; recommend proceeding on the current filing schedule.</w:t>
      </w:r>
    </w:p>
    <w:p>
      <w:pPr>
        <w:pStyle w:val="ListNumber"/>
      </w:pPr>
      <w:r>
        <w:t>Second market (Coastal Meridian): merits assessment stands on its own and is favorable on mark comparison and trade-channel overlap; procedural posture is currently dormant because both counterparties are non-responsive. Recommend holding position and continuing to monitor rather than filing further at this time.</w:t>
      </w:r>
    </w:p>
    <w:p>
      <w:pPr>
        <w:pStyle w:val="ListNumber"/>
      </w:pPr>
      <w:r>
        <w:t>The two matters are not sequenced against one another; each proceeds on its own timeline.</w:t>
      </w:r>
    </w:p>
    <w:p>
      <w:pPr>
        <w:pStyle w:val="ListNumber"/>
      </w:pPr>
      <w:r>
        <w:t>This memorandum supersedes prior status-only updates on the second-market file for purposes of the merits question; those updates remain accurate as to procedural status but were never intended to substitute for this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