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PRIVILEGED AND CONFIDENTIAL</w:t>
      </w:r>
    </w:p>
    <w:p>
      <w:r>
        <w:t>ATTORNEY-CLIENT PRIVILEGED COMMUNICATION / ATTORNEY WORK PRODUCT PREPARED IN ANTICIPATION OF LITIGATION</w:t>
      </w:r>
    </w:p>
    <w:p>
      <w:pPr>
        <w:pStyle w:val="Heading2"/>
      </w:pPr>
      <w:r>
        <w:t>Memorandum</w:t>
      </w:r>
    </w:p>
    <w:p>
      <w:pPr>
        <w:pStyle w:val="ListBullet"/>
      </w:pPr>
      <w:r>
        <w:t>To: Clement Abioye</w:t>
      </w:r>
    </w:p>
    <w:p>
      <w:pPr>
        <w:pStyle w:val="ListBullet"/>
      </w:pPr>
      <w:r>
        <w:t>From: Fionnuala Doherty, Partner, Employment</w:t>
      </w:r>
    </w:p>
    <w:p>
      <w:pPr>
        <w:pStyle w:val="ListBullet"/>
      </w:pPr>
      <w:r>
        <w:t>Re: Direction of Counsel — Opening of Investigation into Supervisor Conduct Complaint</w:t>
      </w:r>
    </w:p>
    <w:p>
      <w:pPr>
        <w:pStyle w:val="ListBullet"/>
      </w:pPr>
      <w:r>
        <w:t>Privilege: Attorney-Client Privileged and Attorney Work Product — Do Not Forward or Copy Without Counsel's Consent</w:t>
      </w:r>
    </w:p>
    <w:p>
      <w:pPr>
        <w:pStyle w:val="Heading2"/>
      </w:pPr>
      <w:r>
        <w:t>1. Purpose of This Memorandum</w:t>
      </w:r>
    </w:p>
    <w:p>
      <w:r>
        <w:t>This memorandum confirms the written direction of counsel discussed on today's call. It opens, under the direction of the undersigned, an internal investigation into a complaint of supervisor harassment. This memorandum is issued so that the investigation and its work product are undertaken at the direction of counsel and in anticipation of the possibility of litigation, and so that the resulting materials are protected as attorney-client privileged and attorney work product to the fullest extent the law allows.</w:t>
      </w:r>
    </w:p>
    <w:p>
      <w:r>
        <w:t>As discussed, this investigation must be treated as entirely separate from (a) the Sable Ridge reduction-in-force planning currently underway, and (b) the pending wage-and-hour claims. It must not be referenced in, or combined with, any handbook update work, RIF selection documentation, or related materials. Keeping these matters on separate tracks is necessary to avoid arguments that the RIF or wage-and-hour matters were used to disguise or retaliate against a harassment complainant, and to prevent the investigation record from being swept into discovery in the wage-and-hour matters.</w:t>
      </w:r>
    </w:p>
    <w:p>
      <w:pPr>
        <w:pStyle w:val="Heading2"/>
      </w:pPr>
      <w:r>
        <w:t>2. Scope of the Investigation</w:t>
      </w:r>
    </w:p>
    <w:p>
      <w:r>
        <w:t>The investigation is opened to determine the facts surrounding a complaint that a supervisor engaged in harassing conduct toward one or more subordinate employees. The investigation shall address, at minimum:</w:t>
      </w:r>
    </w:p>
    <w:p>
      <w:pPr>
        <w:pStyle w:val="ListNumber"/>
      </w:pPr>
      <w:r>
        <w:t>The specific conduct alleged, including dates, locations, and individuals involved or with knowledge</w:t>
      </w:r>
    </w:p>
    <w:p>
      <w:pPr>
        <w:pStyle w:val="ListNumber"/>
      </w:pPr>
      <w:r>
        <w:t>Whether the conduct, if substantiated, violated company policy and applicable law</w:t>
      </w:r>
    </w:p>
    <w:p>
      <w:pPr>
        <w:pStyle w:val="ListNumber"/>
      </w:pPr>
      <w:r>
        <w:t>Whether there is any indication of a pattern of similar conduct by the same supervisor toward other employees</w:t>
      </w:r>
    </w:p>
    <w:p>
      <w:pPr>
        <w:pStyle w:val="ListNumber"/>
      </w:pPr>
      <w:r>
        <w:t>Whether any retaliation has occurred or is at risk of occurring against the complainant or witnesses</w:t>
      </w:r>
    </w:p>
    <w:p>
      <w:pPr>
        <w:pStyle w:val="ListNumber"/>
      </w:pPr>
      <w:r>
        <w:t>Recommended remedial or corrective action, to be provided separately by counsel following completion of fact-finding</w:t>
      </w:r>
    </w:p>
    <w:p>
      <w:pPr>
        <w:pStyle w:val="Heading2"/>
      </w:pPr>
      <w:r>
        <w:t>3. Investigator</w:t>
      </w:r>
    </w:p>
    <w:p>
      <w:r>
        <w:t>Consistent with our preliminary discussion, we recommend engaging an outside investigator rather than an internal HR resource, given the supervisor's seniority and the possibility that this reflects a pattern rather than an isolated incident. An outside investigator also strengthens the credibility and defensibility of the process if the findings are later tested. We will circulate a short list of qualified investigators for your selection within the next two business days. The investigator will be engaged by counsel and will report to counsel, not directly to company management, in order to preserve privilege over the investigation and its findings.</w:t>
      </w:r>
    </w:p>
    <w:p>
      <w:pPr>
        <w:pStyle w:val="Heading2"/>
      </w:pPr>
      <w:r>
        <w:t>4. Interim Steps Pending Investigation</w:t>
      </w:r>
    </w:p>
    <w:p>
      <w:r>
        <w:t>Pending the investigator's engagement and the completion of fact-finding, the following interim steps apply:</w:t>
      </w:r>
    </w:p>
    <w:p>
      <w:pPr>
        <w:pStyle w:val="ListBullet"/>
      </w:pPr>
      <w:r>
        <w:t>No decision on suspension or other discipline of the supervisor should be made at this time. This will be revisited once more facts are developed.</w:t>
      </w:r>
    </w:p>
    <w:p>
      <w:pPr>
        <w:pStyle w:val="ListBullet"/>
      </w:pPr>
      <w:r>
        <w:t>No changes should be made to the complainant's or the supervisor's reporting lines, duties, or working conditions without first consulting counsel, other than steps taken solely to prevent retaliation as described below.</w:t>
      </w:r>
    </w:p>
    <w:p>
      <w:pPr>
        <w:pStyle w:val="ListBullet"/>
      </w:pPr>
      <w:r>
        <w:t>Concrete anti-retaliation steps should be taken now and documented in writing as they are taken. This includes confirming to the complainant, in a manner that is itself documented, that retaliation for raising the complaint will not be tolerated, and monitoring the complainant's treatment, assignments, and any performance actions during the pendency of the investigation.</w:t>
      </w:r>
    </w:p>
    <w:p>
      <w:pPr>
        <w:pStyle w:val="ListBullet"/>
      </w:pPr>
      <w:r>
        <w:t>The supervisor's personnel file should not be pulled or reviewed until the investigator is in place and the review can proceed as part of the structured investigation.</w:t>
      </w:r>
    </w:p>
    <w:p>
      <w:pPr>
        <w:pStyle w:val="ListBullet"/>
      </w:pPr>
      <w:r>
        <w:t>No further fact-gathering, witness contact, or document collection should occur outside the investigation process now being opened.</w:t>
      </w:r>
    </w:p>
    <w:p>
      <w:pPr>
        <w:pStyle w:val="ListBullet"/>
      </w:pPr>
      <w:r>
        <w:t>Knowledge of this matter should continue to be held closely. Please do not discuss the substance of the complaint with other managers or employees beyond what is strictly necessary to implement anti-retaliation measures, and please route any such necessary conversations through counsel first where possible.</w:t>
      </w:r>
    </w:p>
    <w:p>
      <w:pPr>
        <w:pStyle w:val="Heading2"/>
      </w:pPr>
      <w:r>
        <w:t>5. Anticipated Timeline</w:t>
      </w:r>
    </w:p>
    <w:p>
      <w:r>
        <w:t>Once the investigator is engaged and scope is finalized, we anticipate the investigation will take several weeks to complete, depending on witness availability and the volume of documents to be reviewed. We will confirm a more specific estimate once the investigator is selected.</w:t>
      </w:r>
    </w:p>
    <w:p>
      <w:pPr>
        <w:pStyle w:val="Heading2"/>
      </w:pPr>
      <w:r>
        <w:t>6. Next Steps</w:t>
      </w:r>
    </w:p>
    <w:p>
      <w:pPr>
        <w:pStyle w:val="ListNumber"/>
      </w:pPr>
      <w:r>
        <w:t>Counsel to circulate outside investigator options within two business days</w:t>
      </w:r>
    </w:p>
    <w:p>
      <w:pPr>
        <w:pStyle w:val="ListNumber"/>
      </w:pPr>
      <w:r>
        <w:t>Client to identify and document anti-retaliation measures already in place or to be put in place immediately</w:t>
      </w:r>
    </w:p>
    <w:p>
      <w:pPr>
        <w:pStyle w:val="ListNumber"/>
      </w:pPr>
      <w:r>
        <w:t>Finalize investigation scope on Thursday morning call, as previously discussed</w:t>
      </w:r>
    </w:p>
    <w:p>
      <w:pPr>
        <w:pStyle w:val="ListNumber"/>
      </w:pPr>
      <w:r>
        <w:t>Investigation to proceed under this written direction of counsel, kept separate from RIF and wage-and-hour matters</w:t>
      </w:r>
    </w:p>
    <w:p>
      <w:r>
        <w:t>Please treat this memorandum, and all communications concerning this matter, as privileged and confidential. Do not forward this memorandum or discuss its contents outside the individuals who need to know in order to implement it. Call me if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